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LEGAL COMMENTARY</w:t>
      </w:r>
    </w:p>
    <w:p>
      <w:pPr>
        <w:spacing w:after="60"/>
        <w:jc w:val="center"/>
      </w:pPr>
      <w:r>
        <w:rPr>
          <w:b/>
          <w:bCs/>
          <w:sz w:val="28"/>
          <w:szCs w:val="28"/>
        </w:rPr>
        <w:t xml:space="preserve">Unauthorised 2022 Roof Works</w:t>
      </w:r>
    </w:p>
    <w:p>
      <w:pPr>
        <w:spacing w:after="240"/>
        <w:jc w:val="center"/>
      </w:pPr>
      <w:r>
        <w:rPr>
          <w:i/>
          <w:iCs/>
          <w:color w:val="666666"/>
          <w:sz w:val="20"/>
          <w:szCs w:val="20"/>
        </w:rPr>
        <w:t xml:space="preserve">(Internal Notes – Updated 27 December 2024)</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666666" w:sz="1"/>
              <w:left w:val="single" w:color="666666" w:sz="1"/>
              <w:bottom w:val="single" w:color="666666" w:sz="1"/>
              <w:right w:val="single" w:color="666666" w:sz="1"/>
            </w:tcBorders>
            <w:shd w:fill="F2F2F2" w:val="clear"/>
          </w:tcPr>
          <w:p>
            <w:pPr>
              <w:spacing w:before="60" w:after="60"/>
            </w:pPr>
            <w:r>
              <w:rPr>
                <w:b/>
                <w:bCs/>
              </w:rPr>
              <w:t xml:space="preserve">Property: </w:t>
            </w:r>
            <w:r>
              <w:t xml:space="preserve">Flat 14, 14-16 Carroun Road, London SW8 1JT</w:t>
            </w:r>
          </w:p>
          <w:p>
            <w:pPr>
              <w:spacing w:after="60"/>
            </w:pPr>
            <w:r>
              <w:rPr>
                <w:b/>
                <w:bCs/>
              </w:rPr>
              <w:t xml:space="preserve">Lease: </w:t>
            </w:r>
            <w:r>
              <w:t xml:space="preserve">Dated 8 November 2013 | Title No: TGL388326 | Freehold: SGL301847</w:t>
            </w:r>
          </w:p>
          <w:p>
            <w:pPr>
              <w:spacing w:after="60"/>
            </w:pPr>
            <w:r>
              <w:rPr>
                <w:b/>
                <w:bCs/>
              </w:rPr>
              <w:t xml:space="preserve">Landlord: </w:t>
            </w:r>
            <w:r>
              <w:t xml:space="preserve">Katerina Perepech (Freeholder)</w:t>
            </w:r>
          </w:p>
          <w:p>
            <w:pPr>
              <w:spacing w:after="60"/>
            </w:pPr>
            <w:r>
              <w:rPr>
                <w:b/>
                <w:bCs/>
              </w:rPr>
              <w:t xml:space="preserve">Tenant: </w:t>
            </w:r>
            <w:r>
              <w:t xml:space="preserve">Mr Albert (Al) Sarpong</w:t>
            </w:r>
          </w:p>
          <w:p>
            <w:pPr>
              <w:spacing w:after="60"/>
            </w:pPr>
            <w:r>
              <w:rPr>
                <w:b/>
                <w:bCs/>
              </w:rPr>
              <w:t xml:space="preserve">Tenant's Solicitors: </w:t>
            </w:r>
            <w:r>
              <w:t xml:space="preserve">Wright Hassall LLP</w:t>
            </w:r>
          </w:p>
        </w:tc>
      </w:tr>
    </w:tbl>
    <w:p>
      <w:pPr>
        <w:pStyle w:val="Heading1"/>
      </w:pPr>
      <w:r>
        <w:t xml:space="preserve">1. Introduction and Summary</w:t>
      </w:r>
    </w:p>
    <w:p>
      <w:pPr>
        <w:spacing w:after="120"/>
      </w:pPr>
      <w:r>
        <w:t xml:space="preserve">This commentary sets out the legal and factual position regarding unauthorised works carried out by the Tenant to the roof of 14-16 Carroun Road in 2022. The analysis is based on the Lease dated 8 November 2013, Companies House records, email correspondence, and the admissions contained in correspondence from the Tenant's solicitors (Wright Hassall LLP).</w:t>
      </w:r>
    </w:p>
    <w:p>
      <w:pPr>
        <w:spacing w:after="120"/>
      </w:pPr>
      <w:r>
        <w:rPr>
          <w:b/>
          <w:bCs/>
        </w:rPr>
        <w:t xml:space="preserve">Key Conclusion: </w:t>
      </w:r>
      <w:r>
        <w:t xml:space="preserve">The Tenant carried out works to the Landlord's retained property without consent, in breach of express lease covenants, constituting both breach of contract and trespass. The contractor used was a newly-formed company that has since been dissolved, and payments were made to private individuals rather than through proper corporate channels.</w:t>
      </w:r>
    </w:p>
    <w:p>
      <w:pPr>
        <w:pStyle w:val="Heading1"/>
      </w:pPr>
      <w:r>
        <w:t xml:space="preserve">2. Lease Framework: Demised Premises and Retained Parts</w:t>
      </w:r>
    </w:p>
    <w:p>
      <w:pPr>
        <w:pStyle w:val="Heading2"/>
      </w:pPr>
      <w:r>
        <w:t xml:space="preserve">2.1 The Tenant's Property is Interior Only</w:t>
      </w:r>
    </w:p>
    <w:p>
      <w:pPr>
        <w:spacing w:after="80"/>
      </w:pPr>
      <w:r>
        <w:t xml:space="preserve">Schedule 1 of the Lease (page 19) defines the "Property" demised to the Tenant as comprising only the interior elements of Flat 14. The definition expressly states:</w:t>
      </w:r>
    </w:p>
    <w:p>
      <w:pPr>
        <w:pStyle w:val="Quote"/>
      </w:pPr>
      <w:r>
        <w:rPr>
          <w:i/>
          <w:iCs/>
        </w:rPr>
        <w:t xml:space="preserve">"The Property shall not include any of the Retained Parts."</w:t>
      </w:r>
    </w:p>
    <w:p>
      <w:pPr>
        <w:spacing w:after="120"/>
      </w:pPr>
      <w:r>
        <w:t xml:space="preserve">The demise includes internal walls, plaster, floor finishes, ceilings (to their lower surfaces), and internal fixtures. It expressly excludes all structural elements and the exterior of the building.</w:t>
      </w:r>
    </w:p>
    <w:p>
      <w:pPr>
        <w:pStyle w:val="Heading2"/>
      </w:pPr>
      <w:r>
        <w:t xml:space="preserve">2.2 The Roof is the Landlord's Property</w:t>
      </w:r>
    </w:p>
    <w:p>
      <w:pPr>
        <w:spacing w:after="80"/>
      </w:pPr>
      <w:r>
        <w:t xml:space="preserve">Clause 1.1 of the Lease (pages 8-9) defines "Retained Parts" as including:</w:t>
      </w:r>
    </w:p>
    <w:p>
      <w:pPr>
        <w:pStyle w:val="Quote"/>
      </w:pPr>
      <w:r>
        <w:rPr>
          <w:i/>
          <w:iCs/>
        </w:rPr>
        <w:t xml:space="preserve">"the main structure of the Building including the roof and roof structures, the foundations, the external walls and internal load bearing walls, the structural timbers, the joists and the guttering..."</w:t>
      </w:r>
    </w:p>
    <w:p>
      <w:pPr>
        <w:spacing w:after="120"/>
      </w:pPr>
      <w:r>
        <w:rPr>
          <w:b/>
          <w:bCs/>
        </w:rPr>
        <w:t xml:space="preserve">Legal Effect: </w:t>
      </w:r>
      <w:r>
        <w:t xml:space="preserve">The roof is unambiguously part of the Retained Parts and remains the Landlord's property. The Tenant has no legal interest in the roof and no right to access it, repair it, or instruct contractors to work on it without the Landlord's express written consent.</w:t>
      </w:r>
    </w:p>
    <w:p>
      <w:pPr>
        <w:pStyle w:val="Heading1"/>
      </w:pPr>
      <w:r>
        <w:t xml:space="preserve">3. Covenant Against Alterations</w:t>
      </w:r>
    </w:p>
    <w:p>
      <w:pPr>
        <w:spacing w:after="80"/>
      </w:pPr>
      <w:r>
        <w:t xml:space="preserve">Schedule 4, Clause 8.1 of the Lease (page 26) contains an absolute prohibition:</w:t>
      </w:r>
    </w:p>
    <w:p>
      <w:pPr>
        <w:pStyle w:val="Quote"/>
      </w:pPr>
      <w:r>
        <w:rPr>
          <w:i/>
          <w:iCs/>
        </w:rPr>
        <w:t xml:space="preserve">"Not to make any external or structural alteration or addition to the Property or make any opening in any boundary of the Property or cut or maim any structural parts of the Building."</w:t>
      </w:r>
    </w:p>
    <w:p>
      <w:pPr>
        <w:spacing w:after="120"/>
      </w:pPr>
      <w:r>
        <w:rPr>
          <w:b/>
          <w:bCs/>
        </w:rPr>
        <w:t xml:space="preserve">Application: </w:t>
      </w:r>
      <w:r>
        <w:t xml:space="preserve">The Tenant's 2022 roof works constitute (a) an external alteration to the Building, (b) an alteration to structural parts of the Building, and (c) works carried out without any consent from the Landlord. These works are in </w:t>
      </w:r>
      <w:r>
        <w:rPr>
          <w:b/>
          <w:bCs/>
          <w:color w:val="C00000"/>
        </w:rPr>
        <w:t xml:space="preserve">clear breach of Clause 8.1</w:t>
      </w:r>
      <w:r>
        <w:t xml:space="preserve">.</w:t>
      </w:r>
    </w:p>
    <w:p>
      <w:pPr>
        <w:pStyle w:val="Heading1"/>
      </w:pPr>
      <w:r>
        <w:t xml:space="preserve">4. Trespass to the Landlord's Property</w:t>
      </w:r>
    </w:p>
    <w:p>
      <w:pPr>
        <w:spacing w:after="120"/>
      </w:pPr>
      <w:r>
        <w:t xml:space="preserve">Trespass is unlawful interference with land in another's possession. The elements of trespass are established as follows:</w:t>
      </w:r>
    </w:p>
    <w:p>
      <w:pPr>
        <w:pStyle w:val="ListParagraph"/>
        <w:numPr>
          <w:ilvl w:val="0"/>
          <w:numId w:val="2"/>
        </w:numPr>
      </w:pPr>
      <w:r>
        <w:rPr>
          <w:b/>
          <w:bCs/>
        </w:rPr>
        <w:t xml:space="preserve">The roof is the Landlord's property </w:t>
      </w:r>
      <w:r>
        <w:t xml:space="preserve">(forming part of the Retained Parts under the Lease)</w:t>
      </w:r>
    </w:p>
    <w:p>
      <w:pPr>
        <w:pStyle w:val="ListParagraph"/>
        <w:numPr>
          <w:ilvl w:val="0"/>
          <w:numId w:val="2"/>
        </w:numPr>
      </w:pPr>
      <w:r>
        <w:rPr>
          <w:b/>
          <w:bCs/>
        </w:rPr>
        <w:t xml:space="preserve">The Tenant accessed and altered the roof </w:t>
      </w:r>
      <w:r>
        <w:t xml:space="preserve">(admitted by Wright Hassall's correspondence)</w:t>
      </w:r>
    </w:p>
    <w:p>
      <w:pPr>
        <w:pStyle w:val="ListParagraph"/>
        <w:numPr>
          <w:ilvl w:val="0"/>
          <w:numId w:val="2"/>
        </w:numPr>
      </w:pPr>
      <w:r>
        <w:rPr>
          <w:b/>
          <w:bCs/>
        </w:rPr>
        <w:t xml:space="preserve">No consent was obtained </w:t>
      </w:r>
      <w:r>
        <w:t xml:space="preserve">(the Landlord was not consulted or notified)</w:t>
      </w:r>
    </w:p>
    <w:p>
      <w:pPr>
        <w:pStyle w:val="ListParagraph"/>
        <w:numPr>
          <w:ilvl w:val="0"/>
          <w:numId w:val="2"/>
        </w:numPr>
        <w:spacing w:after="120"/>
      </w:pPr>
      <w:r>
        <w:rPr>
          <w:b/>
          <w:bCs/>
        </w:rPr>
        <w:t xml:space="preserve">No lease provision grants access rights </w:t>
      </w:r>
      <w:r>
        <w:t xml:space="preserve">(the Tenant has no easement or licence to access the roof)</w:t>
      </w:r>
    </w:p>
    <w:p>
      <w:pPr>
        <w:spacing w:after="120"/>
      </w:pPr>
      <w:r>
        <w:rPr>
          <w:b/>
          <w:bCs/>
        </w:rPr>
        <w:t xml:space="preserve">Legal Effect: </w:t>
      </w:r>
      <w:r>
        <w:t xml:space="preserve">By entering upon and altering the roof without permission, the Tenant committed trespass to the Landlord's land, regardless of whether damage resulted.</w:t>
      </w:r>
    </w:p>
    <w:p>
      <w:pPr>
        <w:pStyle w:val="Heading1"/>
      </w:pPr>
      <w:r>
        <w:t xml:space="preserve">5. The Contractor: Solution Roofing Ltd</w:t>
      </w:r>
    </w:p>
    <w:p>
      <w:pPr>
        <w:spacing w:after="120"/>
      </w:pPr>
      <w:r>
        <w:t xml:space="preserve">Companies House records reveal critical facts about the contractor engaged by the Tenant:</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rPr>
          <w:tblHeader/>
        </w:trPr>
        <w:tc>
          <w:tcPr>
            <w:tcW w:type="dxa" w:w="3200"/>
            <w:tcBorders>
              <w:top w:val="single" w:color="666666" w:sz="1"/>
              <w:left w:val="single" w:color="666666" w:sz="1"/>
              <w:bottom w:val="single" w:color="666666" w:sz="1"/>
              <w:right w:val="single" w:color="666666" w:sz="1"/>
            </w:tcBorders>
            <w:shd w:fill="1F4E79" w:val="clear"/>
          </w:tcPr>
          <w:p>
            <w:r>
              <w:rPr>
                <w:b/>
                <w:bCs/>
                <w:color w:val="FFFFFF"/>
              </w:rPr>
              <w:t xml:space="preserve">Detail</w:t>
            </w:r>
          </w:p>
        </w:tc>
        <w:tc>
          <w:tcPr>
            <w:tcW w:type="dxa" w:w="6160"/>
            <w:tcBorders>
              <w:top w:val="single" w:color="666666" w:sz="1"/>
              <w:left w:val="single" w:color="666666" w:sz="1"/>
              <w:bottom w:val="single" w:color="666666" w:sz="1"/>
              <w:right w:val="single" w:color="666666" w:sz="1"/>
            </w:tcBorders>
            <w:shd w:fill="1F4E79" w:val="clear"/>
          </w:tcPr>
          <w:p>
            <w:r>
              <w:rPr>
                <w:b/>
                <w:bCs/>
                <w:color w:val="FFFFFF"/>
              </w:rPr>
              <w:t xml:space="preserve">Verified Information (Companies House)</w:t>
            </w:r>
          </w:p>
        </w:tc>
      </w:tr>
      <w:tr>
        <w:tc>
          <w:tcPr>
            <w:tcW w:type="dxa" w:w="3200"/>
            <w:tcBorders>
              <w:top w:val="single" w:color="666666" w:sz="1"/>
              <w:left w:val="single" w:color="666666" w:sz="1"/>
              <w:bottom w:val="single" w:color="666666" w:sz="1"/>
              <w:right w:val="single" w:color="666666" w:sz="1"/>
            </w:tcBorders>
          </w:tcPr>
          <w:p>
            <w:r>
              <w:rPr>
                <w:b/>
                <w:bCs/>
              </w:rPr>
              <w:t xml:space="preserve">Company Name</w:t>
            </w:r>
          </w:p>
        </w:tc>
        <w:tc>
          <w:tcPr>
            <w:tcW w:type="dxa" w:w="6160"/>
            <w:tcBorders>
              <w:top w:val="single" w:color="666666" w:sz="1"/>
              <w:left w:val="single" w:color="666666" w:sz="1"/>
              <w:bottom w:val="single" w:color="666666" w:sz="1"/>
              <w:right w:val="single" w:color="666666" w:sz="1"/>
            </w:tcBorders>
          </w:tcPr>
          <w:p>
            <w:r>
              <w:t xml:space="preserve">Solution Roofing Ltd</w:t>
            </w:r>
          </w:p>
        </w:tc>
      </w:tr>
      <w:tr>
        <w:tc>
          <w:tcPr>
            <w:tcW w:type="dxa" w:w="3200"/>
            <w:tcBorders>
              <w:top w:val="single" w:color="666666" w:sz="1"/>
              <w:left w:val="single" w:color="666666" w:sz="1"/>
              <w:bottom w:val="single" w:color="666666" w:sz="1"/>
              <w:right w:val="single" w:color="666666" w:sz="1"/>
            </w:tcBorders>
            <w:shd w:fill="F2F2F2" w:val="clear"/>
          </w:tcPr>
          <w:p>
            <w:r>
              <w:rPr>
                <w:b/>
                <w:bCs/>
              </w:rPr>
              <w:t xml:space="preserve">Company Number</w:t>
            </w:r>
          </w:p>
        </w:tc>
        <w:tc>
          <w:tcPr>
            <w:tcW w:type="dxa" w:w="6160"/>
            <w:tcBorders>
              <w:top w:val="single" w:color="666666" w:sz="1"/>
              <w:left w:val="single" w:color="666666" w:sz="1"/>
              <w:bottom w:val="single" w:color="666666" w:sz="1"/>
              <w:right w:val="single" w:color="666666" w:sz="1"/>
            </w:tcBorders>
            <w:shd w:fill="F2F2F2" w:val="clear"/>
          </w:tcPr>
          <w:p>
            <w:r>
              <w:rPr>
                <w:b/>
                <w:bCs/>
              </w:rPr>
              <w:t xml:space="preserve">13451861</w:t>
            </w:r>
          </w:p>
        </w:tc>
      </w:tr>
      <w:tr>
        <w:tc>
          <w:tcPr>
            <w:tcW w:type="dxa" w:w="3200"/>
            <w:tcBorders>
              <w:top w:val="single" w:color="666666" w:sz="1"/>
              <w:left w:val="single" w:color="666666" w:sz="1"/>
              <w:bottom w:val="single" w:color="666666" w:sz="1"/>
              <w:right w:val="single" w:color="666666" w:sz="1"/>
            </w:tcBorders>
          </w:tcPr>
          <w:p>
            <w:r>
              <w:rPr>
                <w:b/>
                <w:bCs/>
              </w:rPr>
              <w:t xml:space="preserve">Incorporated</w:t>
            </w:r>
          </w:p>
        </w:tc>
        <w:tc>
          <w:tcPr>
            <w:tcW w:type="dxa" w:w="6160"/>
            <w:tcBorders>
              <w:top w:val="single" w:color="666666" w:sz="1"/>
              <w:left w:val="single" w:color="666666" w:sz="1"/>
              <w:bottom w:val="single" w:color="666666" w:sz="1"/>
              <w:right w:val="single" w:color="666666" w:sz="1"/>
            </w:tcBorders>
          </w:tcPr>
          <w:p>
            <w:r>
              <w:t xml:space="preserve">11 June 2021</w:t>
            </w:r>
          </w:p>
        </w:tc>
      </w:tr>
      <w:tr>
        <w:tc>
          <w:tcPr>
            <w:tcW w:type="dxa" w:w="3200"/>
            <w:tcBorders>
              <w:top w:val="single" w:color="666666" w:sz="1"/>
              <w:left w:val="single" w:color="666666" w:sz="1"/>
              <w:bottom w:val="single" w:color="666666" w:sz="1"/>
              <w:right w:val="single" w:color="666666" w:sz="1"/>
            </w:tcBorders>
            <w:shd w:fill="F2F2F2" w:val="clear"/>
          </w:tcPr>
          <w:p>
            <w:r>
              <w:rPr>
                <w:b/>
                <w:bCs/>
              </w:rPr>
              <w:t xml:space="preserve">Director / PSC</w:t>
            </w:r>
          </w:p>
        </w:tc>
        <w:tc>
          <w:tcPr>
            <w:tcW w:type="dxa" w:w="6160"/>
            <w:tcBorders>
              <w:top w:val="single" w:color="666666" w:sz="1"/>
              <w:left w:val="single" w:color="666666" w:sz="1"/>
              <w:bottom w:val="single" w:color="666666" w:sz="1"/>
              <w:right w:val="single" w:color="666666" w:sz="1"/>
            </w:tcBorders>
            <w:shd w:fill="F2F2F2" w:val="clear"/>
          </w:tcPr>
          <w:p>
            <w:r>
              <w:t xml:space="preserve">Matthew Eastwood (sole director and shareholder)</w:t>
            </w:r>
          </w:p>
        </w:tc>
      </w:tr>
      <w:tr>
        <w:tc>
          <w:tcPr>
            <w:tcW w:type="dxa" w:w="3200"/>
            <w:tcBorders>
              <w:top w:val="single" w:color="666666" w:sz="1"/>
              <w:left w:val="single" w:color="666666" w:sz="1"/>
              <w:bottom w:val="single" w:color="666666" w:sz="1"/>
              <w:right w:val="single" w:color="666666" w:sz="1"/>
            </w:tcBorders>
          </w:tcPr>
          <w:p>
            <w:r>
              <w:rPr>
                <w:b/>
                <w:bCs/>
              </w:rPr>
              <w:t xml:space="preserve">Share Capital</w:t>
            </w:r>
          </w:p>
        </w:tc>
        <w:tc>
          <w:tcPr>
            <w:tcW w:type="dxa" w:w="6160"/>
            <w:tcBorders>
              <w:top w:val="single" w:color="666666" w:sz="1"/>
              <w:left w:val="single" w:color="666666" w:sz="1"/>
              <w:bottom w:val="single" w:color="666666" w:sz="1"/>
              <w:right w:val="single" w:color="666666" w:sz="1"/>
            </w:tcBorders>
          </w:tcPr>
          <w:p>
            <w:r>
              <w:t xml:space="preserve">£100 (100 ordinary shares of £1)</w:t>
            </w:r>
          </w:p>
        </w:tc>
      </w:tr>
      <w:tr>
        <w:tc>
          <w:tcPr>
            <w:tcW w:type="dxa" w:w="3200"/>
            <w:tcBorders>
              <w:top w:val="single" w:color="666666" w:sz="1"/>
              <w:left w:val="single" w:color="666666" w:sz="1"/>
              <w:bottom w:val="single" w:color="666666" w:sz="1"/>
              <w:right w:val="single" w:color="666666" w:sz="1"/>
            </w:tcBorders>
            <w:shd w:fill="FCE4D6" w:val="clear"/>
          </w:tcPr>
          <w:p>
            <w:r>
              <w:rPr>
                <w:b/>
                <w:bCs/>
              </w:rPr>
              <w:t xml:space="preserve">First Gazette Notice</w:t>
            </w:r>
          </w:p>
        </w:tc>
        <w:tc>
          <w:tcPr>
            <w:tcW w:type="dxa" w:w="6160"/>
            <w:tcBorders>
              <w:top w:val="single" w:color="666666" w:sz="1"/>
              <w:left w:val="single" w:color="666666" w:sz="1"/>
              <w:bottom w:val="single" w:color="666666" w:sz="1"/>
              <w:right w:val="single" w:color="666666" w:sz="1"/>
            </w:tcBorders>
            <w:shd w:fill="FCE4D6" w:val="clear"/>
          </w:tcPr>
          <w:p>
            <w:r>
              <w:t xml:space="preserve">9 May 2023 (proposed strike-off)</w:t>
            </w:r>
          </w:p>
        </w:tc>
      </w:tr>
      <w:tr>
        <w:tc>
          <w:tcPr>
            <w:tcW w:type="dxa" w:w="3200"/>
            <w:tcBorders>
              <w:top w:val="single" w:color="666666" w:sz="1"/>
              <w:left w:val="single" w:color="666666" w:sz="1"/>
              <w:bottom w:val="single" w:color="666666" w:sz="1"/>
              <w:right w:val="single" w:color="666666" w:sz="1"/>
            </w:tcBorders>
            <w:shd w:fill="F8CBAD" w:val="clear"/>
          </w:tcPr>
          <w:p>
            <w:r>
              <w:rPr>
                <w:b/>
                <w:bCs/>
                <w:color w:val="C00000"/>
              </w:rPr>
              <w:t xml:space="preserve">Strike Off Date</w:t>
            </w:r>
          </w:p>
        </w:tc>
        <w:tc>
          <w:tcPr>
            <w:tcW w:type="dxa" w:w="6160"/>
            <w:tcBorders>
              <w:top w:val="single" w:color="666666" w:sz="1"/>
              <w:left w:val="single" w:color="666666" w:sz="1"/>
              <w:bottom w:val="single" w:color="666666" w:sz="1"/>
              <w:right w:val="single" w:color="666666" w:sz="1"/>
            </w:tcBorders>
            <w:shd w:fill="F8CBAD" w:val="clear"/>
          </w:tcPr>
          <w:p>
            <w:r>
              <w:rPr>
                <w:b/>
                <w:bCs/>
                <w:color w:val="C00000"/>
              </w:rPr>
              <w:t xml:space="preserve">6 January 2024</w:t>
            </w:r>
          </w:p>
        </w:tc>
      </w:tr>
      <w:tr>
        <w:tc>
          <w:tcPr>
            <w:tcW w:type="dxa" w:w="3200"/>
            <w:tcBorders>
              <w:top w:val="single" w:color="666666" w:sz="1"/>
              <w:left w:val="single" w:color="666666" w:sz="1"/>
              <w:bottom w:val="single" w:color="666666" w:sz="1"/>
              <w:right w:val="single" w:color="666666" w:sz="1"/>
            </w:tcBorders>
            <w:shd w:fill="F8CBAD" w:val="clear"/>
          </w:tcPr>
          <w:p>
            <w:r>
              <w:rPr>
                <w:b/>
                <w:bCs/>
                <w:color w:val="C00000"/>
              </w:rPr>
              <w:t xml:space="preserve">Dissolution Date</w:t>
            </w:r>
          </w:p>
        </w:tc>
        <w:tc>
          <w:tcPr>
            <w:tcW w:type="dxa" w:w="6160"/>
            <w:tcBorders>
              <w:top w:val="single" w:color="666666" w:sz="1"/>
              <w:left w:val="single" w:color="666666" w:sz="1"/>
              <w:bottom w:val="single" w:color="666666" w:sz="1"/>
              <w:right w:val="single" w:color="666666" w:sz="1"/>
            </w:tcBorders>
            <w:shd w:fill="F8CBAD" w:val="clear"/>
          </w:tcPr>
          <w:p>
            <w:r>
              <w:rPr>
                <w:b/>
                <w:bCs/>
                <w:color w:val="C00000"/>
              </w:rPr>
              <w:t xml:space="preserve">16 January 2024</w:t>
            </w:r>
          </w:p>
        </w:tc>
      </w:tr>
    </w:tbl>
    <w:p>
      <w:pPr>
        <w:pStyle w:val="Heading2"/>
        <w:spacing w:before="240"/>
      </w:pPr>
      <w:r>
        <w:t xml:space="preserve">5.1 Significance of Company Age</w:t>
      </w:r>
    </w:p>
    <w:p>
      <w:pPr>
        <w:spacing w:after="120"/>
      </w:pPr>
      <w:r>
        <w:t xml:space="preserve">The company was incorporated on 11 June 2021 and performed the roof works in 2022. This means the company was </w:t>
      </w:r>
      <w:r>
        <w:rPr>
          <w:b/>
          <w:bCs/>
          <w:color w:val="C00000"/>
        </w:rPr>
        <w:t xml:space="preserve">less than 12 months old</w:t>
      </w:r>
      <w:r>
        <w:t xml:space="preserve"> when engaged to perform structural roof works. It had no meaningful trading history, no established reputation, and minimal financial substance (share capital of just £100).</w:t>
      </w:r>
    </w:p>
    <w:p>
      <w:pPr>
        <w:pStyle w:val="Heading2"/>
      </w:pPr>
      <w:r>
        <w:t xml:space="preserve">5.2 Consequences of Dissolution</w:t>
      </w:r>
    </w:p>
    <w:p>
      <w:pPr>
        <w:spacing w:after="80"/>
      </w:pPr>
      <w:r>
        <w:t xml:space="preserve">The dissolution of Solution Roofing Ltd on 16 January 2024 has the following practical consequences:</w:t>
      </w:r>
    </w:p>
    <w:p>
      <w:pPr>
        <w:pStyle w:val="ListParagraph"/>
        <w:numPr>
          <w:ilvl w:val="0"/>
          <w:numId w:val="3"/>
        </w:numPr>
      </w:pPr>
      <w:r>
        <w:rPr>
          <w:b/>
          <w:bCs/>
        </w:rPr>
        <w:t xml:space="preserve">No Warranties: </w:t>
      </w:r>
      <w:r>
        <w:t xml:space="preserve">Any warranties or guarantees for the works are now unenforceable</w:t>
      </w:r>
    </w:p>
    <w:p>
      <w:pPr>
        <w:pStyle w:val="ListParagraph"/>
        <w:numPr>
          <w:ilvl w:val="0"/>
          <w:numId w:val="3"/>
        </w:numPr>
      </w:pPr>
      <w:r>
        <w:rPr>
          <w:b/>
          <w:bCs/>
        </w:rPr>
        <w:t xml:space="preserve">No Insurance: </w:t>
      </w:r>
      <w:r>
        <w:t xml:space="preserve">Public liability and professional indemnity insurance will have lapsed</w:t>
      </w:r>
    </w:p>
    <w:p>
      <w:pPr>
        <w:pStyle w:val="ListParagraph"/>
        <w:numPr>
          <w:ilvl w:val="0"/>
          <w:numId w:val="3"/>
        </w:numPr>
      </w:pPr>
      <w:r>
        <w:rPr>
          <w:b/>
          <w:bCs/>
        </w:rPr>
        <w:t xml:space="preserve">No Rectification: </w:t>
      </w:r>
      <w:r>
        <w:t xml:space="preserve">The company cannot be called back to rectify defective work</w:t>
      </w:r>
    </w:p>
    <w:p>
      <w:pPr>
        <w:pStyle w:val="ListParagraph"/>
        <w:numPr>
          <w:ilvl w:val="0"/>
          <w:numId w:val="3"/>
        </w:numPr>
      </w:pPr>
      <w:r>
        <w:rPr>
          <w:b/>
          <w:bCs/>
        </w:rPr>
        <w:t xml:space="preserve">No Accountability: </w:t>
      </w:r>
      <w:r>
        <w:t xml:space="preserve">There is no corporate entity to pursue for damages</w:t>
      </w:r>
    </w:p>
    <w:p>
      <w:pPr>
        <w:pStyle w:val="ListParagraph"/>
        <w:numPr>
          <w:ilvl w:val="0"/>
          <w:numId w:val="3"/>
        </w:numPr>
        <w:spacing w:after="120"/>
      </w:pPr>
      <w:r>
        <w:rPr>
          <w:b/>
          <w:bCs/>
        </w:rPr>
        <w:t xml:space="preserve">Bona Vacantia: </w:t>
      </w:r>
      <w:r>
        <w:t xml:space="preserve">All company property now belongs to the Crown</w:t>
      </w:r>
    </w:p>
    <w:p>
      <w:pPr>
        <w:pStyle w:val="Heading1"/>
      </w:pPr>
      <w:r>
        <w:t xml:space="preserve">6. Payment Irregularities</w:t>
      </w:r>
    </w:p>
    <w:p>
      <w:pPr>
        <w:spacing w:after="120"/>
      </w:pPr>
      <w:r>
        <w:t xml:space="preserve">Evidence indicates that payments for the 2022 roof works were made to a private individual (£3,500 reportedly paid to "J. S. Whitbread") rather than through Solution Roofing Ltd's corporate bank account. This raises serious concerns:</w:t>
      </w:r>
    </w:p>
    <w:p>
      <w:pPr>
        <w:pStyle w:val="ListParagraph"/>
        <w:numPr>
          <w:ilvl w:val="0"/>
          <w:numId w:val="4"/>
        </w:numPr>
      </w:pPr>
      <w:r>
        <w:t xml:space="preserve">Payments to individuals rather than the company suggests informal cash-in-hand arrangements</w:t>
      </w:r>
    </w:p>
    <w:p>
      <w:pPr>
        <w:pStyle w:val="ListParagraph"/>
        <w:numPr>
          <w:ilvl w:val="0"/>
          <w:numId w:val="4"/>
        </w:numPr>
      </w:pPr>
      <w:r>
        <w:t xml:space="preserve">No corporate paper trail for the transaction</w:t>
      </w:r>
    </w:p>
    <w:p>
      <w:pPr>
        <w:pStyle w:val="ListParagraph"/>
        <w:numPr>
          <w:ilvl w:val="0"/>
          <w:numId w:val="4"/>
        </w:numPr>
      </w:pPr>
      <w:r>
        <w:t xml:space="preserve">Potential VAT irregularities (if the company was VAT-registered)</w:t>
      </w:r>
    </w:p>
    <w:p>
      <w:pPr>
        <w:pStyle w:val="ListParagraph"/>
        <w:numPr>
          <w:ilvl w:val="0"/>
          <w:numId w:val="4"/>
        </w:numPr>
      </w:pPr>
      <w:r>
        <w:t xml:space="preserve">The limited company structure was circumvented, removing its protections</w:t>
      </w:r>
    </w:p>
    <w:p>
      <w:pPr>
        <w:pStyle w:val="ListParagraph"/>
        <w:numPr>
          <w:ilvl w:val="0"/>
          <w:numId w:val="4"/>
        </w:numPr>
        <w:spacing w:after="120"/>
      </w:pPr>
      <w:r>
        <w:t xml:space="preserve">J. S. Whitbread has no apparent connection to Matthew Eastwood (the company director)</w:t>
      </w:r>
    </w:p>
    <w:p>
      <w:pPr>
        <w:pStyle w:val="Heading1"/>
      </w:pPr>
      <w:r>
        <w:t xml:space="preserve">7. Causation: The 2022 Works and Current Leaks</w:t>
      </w:r>
    </w:p>
    <w:p>
      <w:pPr>
        <w:spacing w:after="120"/>
      </w:pPr>
      <w:r>
        <w:t xml:space="preserve">There is a credible likelihood that the Tenant's unauthorised 2022 works either caused or materially contributed to the current water ingress problems:</w:t>
      </w:r>
    </w:p>
    <w:p>
      <w:pPr>
        <w:pStyle w:val="ListParagraph"/>
        <w:numPr>
          <w:ilvl w:val="0"/>
          <w:numId w:val="5"/>
        </w:numPr>
      </w:pPr>
      <w:r>
        <w:t xml:space="preserve">Works by an inexperienced, now-dissolved contractor with minimal capital</w:t>
      </w:r>
    </w:p>
    <w:p>
      <w:pPr>
        <w:pStyle w:val="ListParagraph"/>
        <w:numPr>
          <w:ilvl w:val="0"/>
          <w:numId w:val="5"/>
        </w:numPr>
      </w:pPr>
      <w:r>
        <w:t xml:space="preserve">No evidence of qualified supervision or compliance with building standards</w:t>
      </w:r>
    </w:p>
    <w:p>
      <w:pPr>
        <w:pStyle w:val="ListParagraph"/>
        <w:numPr>
          <w:ilvl w:val="0"/>
          <w:numId w:val="5"/>
        </w:numPr>
      </w:pPr>
      <w:r>
        <w:t xml:space="preserve">Disturbance of existing roofing layers and waterproof membranes</w:t>
      </w:r>
    </w:p>
    <w:p>
      <w:pPr>
        <w:pStyle w:val="ListParagraph"/>
        <w:numPr>
          <w:ilvl w:val="0"/>
          <w:numId w:val="5"/>
        </w:numPr>
      </w:pPr>
      <w:r>
        <w:t xml:space="preserve">Use of potentially unsuitable materials or methods</w:t>
      </w:r>
    </w:p>
    <w:p>
      <w:pPr>
        <w:pStyle w:val="ListParagraph"/>
        <w:numPr>
          <w:ilvl w:val="0"/>
          <w:numId w:val="5"/>
        </w:numPr>
        <w:spacing w:after="120"/>
      </w:pPr>
      <w:r>
        <w:t xml:space="preserve">The Tenant now relies on problems potentially caused by his own unlawful actions</w:t>
      </w:r>
    </w:p>
    <w:p>
      <w:pPr>
        <w:spacing w:after="120"/>
      </w:pPr>
      <w:r>
        <w:rPr>
          <w:b/>
          <w:bCs/>
        </w:rPr>
        <w:t xml:space="preserve">Critical Point: </w:t>
      </w:r>
      <w:r>
        <w:t xml:space="preserve">The Tenant is attempting to use problems that may have been caused by his own trespass and breach of covenant as the foundation for demands against the Landlord. This fundamentally undermines both his credibility and his equitable standing.</w:t>
      </w:r>
    </w:p>
    <w:p>
      <w:pPr>
        <w:pStyle w:val="Heading1"/>
      </w:pPr>
      <w:r>
        <w:t xml:space="preserve">8. Timeline Discrepancy</w:t>
      </w:r>
    </w:p>
    <w:p>
      <w:pPr>
        <w:spacing w:after="120"/>
      </w:pPr>
      <w:r>
        <w:t xml:space="preserve">Wright Hassall's correspondence claims that Mr Sarpong notified the Landlord of roof issues in March 2021. However, documentary evidence shows that first contact was in </w:t>
      </w:r>
      <w:r>
        <w:rPr>
          <w:b/>
          <w:bCs/>
        </w:rPr>
        <w:t xml:space="preserve">March 2022</w:t>
      </w:r>
      <w:r>
        <w:t xml:space="preserve">, not 2021. This one-year discrepancy is significant:</w:t>
      </w:r>
    </w:p>
    <w:p>
      <w:pPr>
        <w:pStyle w:val="ListParagraph"/>
        <w:numPr>
          <w:ilvl w:val="0"/>
          <w:numId w:val="6"/>
        </w:numPr>
      </w:pPr>
      <w:r>
        <w:t xml:space="preserve">It suggests either misrepresentation or unreliable record-keeping by the Tenant</w:t>
      </w:r>
    </w:p>
    <w:p>
      <w:pPr>
        <w:pStyle w:val="ListParagraph"/>
        <w:numPr>
          <w:ilvl w:val="0"/>
          <w:numId w:val="6"/>
        </w:numPr>
      </w:pPr>
      <w:r>
        <w:t xml:space="preserve">It undermines the credibility of Wright Hassall's factual assertions</w:t>
      </w:r>
    </w:p>
    <w:p>
      <w:pPr>
        <w:pStyle w:val="ListParagraph"/>
        <w:numPr>
          <w:ilvl w:val="0"/>
          <w:numId w:val="6"/>
        </w:numPr>
        <w:spacing w:after="120"/>
      </w:pPr>
      <w:r>
        <w:t xml:space="preserve">It should be challenged directly in any correspondence or proceedings</w:t>
      </w:r>
    </w:p>
    <w:p>
      <w:pPr>
        <w:pStyle w:val="Heading1"/>
      </w:pPr>
      <w:r>
        <w:t xml:space="preserve">9. Costs Recovery Under the Lease</w:t>
      </w:r>
    </w:p>
    <w:p>
      <w:pPr>
        <w:spacing w:after="120"/>
      </w:pPr>
      <w:r>
        <w:t xml:space="preserve">The Lease contains comprehensive costs recovery provisions that operate independently of any Tribunal discretion:</w:t>
      </w:r>
    </w:p>
    <w:p>
      <w:pPr>
        <w:pStyle w:val="Heading2"/>
      </w:pPr>
      <w:r>
        <w:t xml:space="preserve">9.1 Clause 7 (Schedule 4, Page 25)</w:t>
      </w:r>
    </w:p>
    <w:p>
      <w:pPr>
        <w:pStyle w:val="Quote"/>
      </w:pPr>
      <w:r>
        <w:rPr>
          <w:i/>
          <w:iCs/>
        </w:rPr>
        <w:t xml:space="preserve">"To pay all costs, charges and expenses (including solicitors' costs and surveyors' fees) which the Landlord may incur... in the preparation and service of a notice under Section 146... or otherwise incurred by the Landlord in enforcing the Tenant Covenants..."</w:t>
      </w:r>
    </w:p>
    <w:p>
      <w:pPr>
        <w:spacing w:after="120"/>
      </w:pPr>
      <w:r>
        <w:rPr>
          <w:b/>
          <w:bCs/>
        </w:rPr>
        <w:t xml:space="preserve">Effect: </w:t>
      </w:r>
      <w:r>
        <w:t xml:space="preserve">Full indemnity costs recovery for enforcement proceedings.</w:t>
      </w:r>
    </w:p>
    <w:p>
      <w:pPr>
        <w:pStyle w:val="Heading2"/>
      </w:pPr>
      <w:r>
        <w:t xml:space="preserve">9.2 Clause 16 (Schedule 4, Pages 29-30)</w:t>
      </w:r>
    </w:p>
    <w:p>
      <w:pPr>
        <w:pStyle w:val="Quote"/>
      </w:pPr>
      <w:r>
        <w:rPr>
          <w:i/>
          <w:iCs/>
        </w:rPr>
        <w:t xml:space="preserve">"To indemnify and keep the Landlord fully indemnified from and against: all damage, losses, costs, claims, demands, actions and expenses arising directly or indirectly out of: any breach of the Tenant Covenants; any act or default of the Tenant or any contractor engaged by the Tenant..."</w:t>
      </w:r>
    </w:p>
    <w:p>
      <w:pPr>
        <w:spacing w:after="120"/>
      </w:pPr>
      <w:r>
        <w:rPr>
          <w:b/>
          <w:bCs/>
        </w:rPr>
        <w:t xml:space="preserve">Effect: </w:t>
      </w:r>
      <w:r>
        <w:t xml:space="preserve">The Landlord is entitled to recover all costs of investigating and remedying damage caused by the unauthorised works.</w:t>
      </w:r>
    </w:p>
    <w:p>
      <w:pPr>
        <w:pStyle w:val="Heading2"/>
      </w:pPr>
      <w:r>
        <w:t xml:space="preserve">9.3 Strategic Importance</w:t>
      </w:r>
    </w:p>
    <w:p>
      <w:pPr>
        <w:spacing w:after="120"/>
      </w:pPr>
      <w:r>
        <w:t xml:space="preserve">These contractual rights operate </w:t>
      </w:r>
      <w:r>
        <w:rPr>
          <w:b/>
          <w:bCs/>
        </w:rPr>
        <w:t xml:space="preserve">independently of any Tribunal discretion</w:t>
      </w:r>
      <w:r>
        <w:t xml:space="preserve">. Any settlement proposal should therefore </w:t>
      </w:r>
      <w:r>
        <w:rPr>
          <w:b/>
          <w:bCs/>
          <w:color w:val="C00000"/>
        </w:rPr>
        <w:t xml:space="preserve">preserve these contractual rights</w:t>
      </w:r>
      <w:r>
        <w:t xml:space="preserve"> and not include any waiver of costs entitlement.</w:t>
      </w:r>
    </w:p>
    <w:p>
      <w:pPr>
        <w:pStyle w:val="Heading1"/>
      </w:pPr>
      <w:r>
        <w:t xml:space="preserve">10. Impact on Tribunal Proceedings</w:t>
      </w:r>
    </w:p>
    <w:p>
      <w:pPr>
        <w:spacing w:after="120"/>
      </w:pPr>
      <w:r>
        <w:t xml:space="preserve">The Tenant's conduct significantly weakens any application to the First-Tier Tribunal:</w:t>
      </w:r>
    </w:p>
    <w:p>
      <w:pPr>
        <w:pStyle w:val="ListParagraph"/>
        <w:numPr>
          <w:ilvl w:val="0"/>
          <w:numId w:val="7"/>
        </w:numPr>
      </w:pPr>
      <w:r>
        <w:rPr>
          <w:b/>
          <w:bCs/>
        </w:rPr>
        <w:t xml:space="preserve">Diminished Credibility: </w:t>
      </w:r>
      <w:r>
        <w:t xml:space="preserve">The factual discrepancies and informal payment arrangements undermine the Tenant's reliability</w:t>
      </w:r>
    </w:p>
    <w:p>
      <w:pPr>
        <w:pStyle w:val="ListParagraph"/>
        <w:numPr>
          <w:ilvl w:val="0"/>
          <w:numId w:val="7"/>
        </w:numPr>
      </w:pPr>
      <w:r>
        <w:rPr>
          <w:b/>
          <w:bCs/>
        </w:rPr>
        <w:t xml:space="preserve">Clean Hands Doctrine: </w:t>
      </w:r>
      <w:r>
        <w:t xml:space="preserve">A party seeking equitable relief must come with clean hands; the Tenant's trespass and breach prevent this</w:t>
      </w:r>
    </w:p>
    <w:p>
      <w:pPr>
        <w:pStyle w:val="ListParagraph"/>
        <w:numPr>
          <w:ilvl w:val="0"/>
          <w:numId w:val="7"/>
        </w:numPr>
      </w:pPr>
      <w:r>
        <w:rPr>
          <w:b/>
          <w:bCs/>
        </w:rPr>
        <w:t xml:space="preserve">Broken Causal Chain: </w:t>
      </w:r>
      <w:r>
        <w:t xml:space="preserve">If the Tenant's works caused the leak, he cannot rely on it to support claims against the Landlord</w:t>
      </w:r>
    </w:p>
    <w:p>
      <w:pPr>
        <w:pStyle w:val="ListParagraph"/>
        <w:numPr>
          <w:ilvl w:val="0"/>
          <w:numId w:val="7"/>
        </w:numPr>
      </w:pPr>
      <w:r>
        <w:rPr>
          <w:b/>
          <w:bCs/>
        </w:rPr>
        <w:t xml:space="preserve">Costs Risk: </w:t>
      </w:r>
      <w:r>
        <w:t xml:space="preserve">Tribunal Rule 13 permits costs orders against parties who have acted unreasonably</w:t>
      </w:r>
    </w:p>
    <w:p>
      <w:pPr>
        <w:pStyle w:val="ListParagraph"/>
        <w:numPr>
          <w:ilvl w:val="0"/>
          <w:numId w:val="7"/>
        </w:numPr>
        <w:spacing w:after="120"/>
      </w:pPr>
      <w:r>
        <w:rPr>
          <w:b/>
          <w:bCs/>
        </w:rPr>
        <w:t xml:space="preserve">Reluctance to Grant Relief: </w:t>
      </w:r>
      <w:r>
        <w:t xml:space="preserve">Tribunals are reluctant to grant relief to applicants in breach of the lease</w:t>
      </w:r>
    </w:p>
    <w:p>
      <w:r>
        <w:br w:type="page"/>
      </w:r>
    </w:p>
    <w:p>
      <w:pPr>
        <w:pStyle w:val="Heading1"/>
      </w:pPr>
      <w:r>
        <w:t xml:space="preserve">11. Conclusions and Recommendations</w:t>
      </w:r>
    </w:p>
    <w:p>
      <w:pPr>
        <w:spacing w:after="120"/>
      </w:pPr>
      <w:r>
        <w:t xml:space="preserve">These points strongly support the Landlord's position that:</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666666" w:sz="1"/>
              <w:left w:val="single" w:color="666666" w:sz="1"/>
              <w:bottom w:val="single" w:color="666666" w:sz="1"/>
              <w:right w:val="single" w:color="666666" w:sz="1"/>
            </w:tcBorders>
            <w:shd w:fill="E2EFD9" w:val="clear"/>
          </w:tcPr>
          <w:p>
            <w:pPr>
              <w:pStyle w:val="ListParagraph"/>
              <w:numPr>
                <w:ilvl w:val="0"/>
                <w:numId w:val="8"/>
              </w:numPr>
              <w:spacing w:before="120"/>
            </w:pPr>
            <w:r>
              <w:rPr>
                <w:b/>
                <w:bCs/>
              </w:rPr>
              <w:t xml:space="preserve">No admission of liability </w:t>
            </w:r>
            <w:r>
              <w:t xml:space="preserve">should be made until an independent investigation establishes the true cause of the leak</w:t>
            </w:r>
          </w:p>
          <w:p>
            <w:pPr>
              <w:pStyle w:val="ListParagraph"/>
              <w:numPr>
                <w:ilvl w:val="0"/>
                <w:numId w:val="8"/>
              </w:numPr>
            </w:pPr>
            <w:r>
              <w:rPr>
                <w:b/>
                <w:bCs/>
              </w:rPr>
              <w:t xml:space="preserve">No payment should be offered </w:t>
            </w:r>
            <w:r>
              <w:t xml:space="preserve">until a proper independent survey is conducted</w:t>
            </w:r>
          </w:p>
          <w:p>
            <w:pPr>
              <w:pStyle w:val="ListParagraph"/>
              <w:numPr>
                <w:ilvl w:val="0"/>
                <w:numId w:val="8"/>
              </w:numPr>
            </w:pPr>
            <w:r>
              <w:rPr>
                <w:b/>
                <w:bCs/>
              </w:rPr>
              <w:t xml:space="preserve">The Tenant's conduct should be raised </w:t>
            </w:r>
            <w:r>
              <w:t xml:space="preserve">in all correspondence and any future legal forum</w:t>
            </w:r>
          </w:p>
          <w:p>
            <w:pPr>
              <w:pStyle w:val="ListParagraph"/>
              <w:numPr>
                <w:ilvl w:val="0"/>
                <w:numId w:val="8"/>
              </w:numPr>
            </w:pPr>
            <w:r>
              <w:rPr>
                <w:b/>
                <w:bCs/>
              </w:rPr>
              <w:t xml:space="preserve">Costs recovery rights must be preserved </w:t>
            </w:r>
            <w:r>
              <w:t xml:space="preserve">– never agree to waive entitlements under Clauses 7 and 16</w:t>
            </w:r>
          </w:p>
          <w:p>
            <w:pPr>
              <w:pStyle w:val="ListParagraph"/>
              <w:numPr>
                <w:ilvl w:val="0"/>
                <w:numId w:val="8"/>
              </w:numPr>
            </w:pPr>
            <w:r>
              <w:rPr>
                <w:b/>
                <w:bCs/>
              </w:rPr>
              <w:t xml:space="preserve">Outstanding sums should be pursued separately </w:t>
            </w:r>
            <w:r>
              <w:t xml:space="preserve">– including ground rent and insurance contributions</w:t>
            </w:r>
          </w:p>
          <w:p>
            <w:pPr>
              <w:pStyle w:val="ListParagraph"/>
              <w:numPr>
                <w:ilvl w:val="0"/>
                <w:numId w:val="8"/>
              </w:numPr>
              <w:spacing w:after="120"/>
            </w:pPr>
            <w:r>
              <w:rPr>
                <w:b/>
                <w:bCs/>
              </w:rPr>
              <w:t xml:space="preserve">The timeline discrepancy should be challenged </w:t>
            </w:r>
            <w:r>
              <w:t xml:space="preserve">– March 2021 claim contradicts documentary evidence</w:t>
            </w:r>
          </w:p>
        </w:tc>
      </w:tr>
    </w:tbl>
    <w:p>
      <w:pPr>
        <w:pStyle w:val="Heading2"/>
        <w:spacing w:before="240"/>
      </w:pPr>
      <w:r>
        <w:t xml:space="preserve">11.1 Available Remedies</w:t>
      </w:r>
    </w:p>
    <w:p>
      <w:pPr>
        <w:spacing w:after="80"/>
      </w:pPr>
      <w:r>
        <w:t xml:space="preserve">The Landlord may pursue the following remedies:</w:t>
      </w:r>
    </w:p>
    <w:p>
      <w:pPr>
        <w:pStyle w:val="ListParagraph"/>
        <w:numPr>
          <w:ilvl w:val="0"/>
          <w:numId w:val="9"/>
        </w:numPr>
      </w:pPr>
      <w:r>
        <w:t xml:space="preserve">Damages for trespass</w:t>
      </w:r>
    </w:p>
    <w:p>
      <w:pPr>
        <w:pStyle w:val="ListParagraph"/>
        <w:numPr>
          <w:ilvl w:val="0"/>
          <w:numId w:val="9"/>
        </w:numPr>
      </w:pPr>
      <w:r>
        <w:t xml:space="preserve">Injunctive relief to prevent further interference</w:t>
      </w:r>
    </w:p>
    <w:p>
      <w:pPr>
        <w:pStyle w:val="ListParagraph"/>
        <w:numPr>
          <w:ilvl w:val="0"/>
          <w:numId w:val="9"/>
        </w:numPr>
      </w:pPr>
      <w:r>
        <w:t xml:space="preserve">Costs of investigation and remediation (recoverable under indemnity)</w:t>
      </w:r>
    </w:p>
    <w:p>
      <w:pPr>
        <w:pStyle w:val="ListParagraph"/>
        <w:numPr>
          <w:ilvl w:val="0"/>
          <w:numId w:val="9"/>
        </w:numPr>
      </w:pPr>
      <w:r>
        <w:t xml:space="preserve">Declaration of breach for the record</w:t>
      </w:r>
    </w:p>
    <w:p>
      <w:pPr>
        <w:pStyle w:val="ListParagraph"/>
        <w:numPr>
          <w:ilvl w:val="0"/>
          <w:numId w:val="9"/>
        </w:numPr>
        <w:spacing w:after="240"/>
      </w:pPr>
      <w:r>
        <w:t xml:space="preserve">Service charge demands for outstanding ground rent and insurance contributions</w:t>
      </w:r>
    </w:p>
    <w:p>
      <w:pPr>
        <w:pStyle w:val="Heading1"/>
      </w:pPr>
      <w:r>
        <w:t xml:space="preserve">12. Quick Reference Summary</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rPr>
          <w:tblHeader/>
        </w:trPr>
        <w:tc>
          <w:tcPr>
            <w:tcW w:type="dxa" w:w="2800"/>
            <w:tcBorders>
              <w:top w:val="single" w:color="666666" w:sz="1"/>
              <w:left w:val="single" w:color="666666" w:sz="1"/>
              <w:bottom w:val="single" w:color="666666" w:sz="1"/>
              <w:right w:val="single" w:color="666666" w:sz="1"/>
            </w:tcBorders>
            <w:shd w:fill="2E74B5" w:val="clear"/>
          </w:tcPr>
          <w:p>
            <w:r>
              <w:rPr>
                <w:b/>
                <w:bCs/>
                <w:color w:val="FFFFFF"/>
              </w:rPr>
              <w:t xml:space="preserve">Issue</w:t>
            </w:r>
          </w:p>
        </w:tc>
        <w:tc>
          <w:tcPr>
            <w:tcW w:type="dxa" w:w="6560"/>
            <w:tcBorders>
              <w:top w:val="single" w:color="666666" w:sz="1"/>
              <w:left w:val="single" w:color="666666" w:sz="1"/>
              <w:bottom w:val="single" w:color="666666" w:sz="1"/>
              <w:right w:val="single" w:color="666666" w:sz="1"/>
            </w:tcBorders>
            <w:shd w:fill="2E74B5" w:val="clear"/>
          </w:tcPr>
          <w:p>
            <w:r>
              <w:rPr>
                <w:b/>
                <w:bCs/>
                <w:color w:val="FFFFFF"/>
              </w:rPr>
              <w:t xml:space="preserve">Position</w:t>
            </w:r>
          </w:p>
        </w:tc>
      </w:tr>
      <w:tr>
        <w:tc>
          <w:tcPr>
            <w:tcW w:type="dxa" w:w="2800"/>
            <w:tcBorders>
              <w:top w:val="single" w:color="666666" w:sz="1"/>
              <w:left w:val="single" w:color="666666" w:sz="1"/>
              <w:bottom w:val="single" w:color="666666" w:sz="1"/>
              <w:right w:val="single" w:color="666666" w:sz="1"/>
            </w:tcBorders>
          </w:tcPr>
          <w:p>
            <w:r>
              <w:rPr>
                <w:b/>
                <w:bCs/>
              </w:rPr>
              <w:t xml:space="preserve">Roof Ownership</w:t>
            </w:r>
          </w:p>
        </w:tc>
        <w:tc>
          <w:tcPr>
            <w:tcW w:type="dxa" w:w="6560"/>
            <w:tcBorders>
              <w:top w:val="single" w:color="666666" w:sz="1"/>
              <w:left w:val="single" w:color="666666" w:sz="1"/>
              <w:bottom w:val="single" w:color="666666" w:sz="1"/>
              <w:right w:val="single" w:color="666666" w:sz="1"/>
            </w:tcBorders>
          </w:tcPr>
          <w:p>
            <w:r>
              <w:t xml:space="preserve">Landlord's property (Retained Parts under Clause 1.1)</w:t>
            </w:r>
          </w:p>
        </w:tc>
      </w:tr>
      <w:tr>
        <w:tc>
          <w:tcPr>
            <w:tcW w:type="dxa" w:w="2800"/>
            <w:tcBorders>
              <w:top w:val="single" w:color="666666" w:sz="1"/>
              <w:left w:val="single" w:color="666666" w:sz="1"/>
              <w:bottom w:val="single" w:color="666666" w:sz="1"/>
              <w:right w:val="single" w:color="666666" w:sz="1"/>
            </w:tcBorders>
            <w:shd w:fill="F2F2F2" w:val="clear"/>
          </w:tcPr>
          <w:p>
            <w:r>
              <w:rPr>
                <w:b/>
                <w:bCs/>
              </w:rPr>
              <w:t xml:space="preserve">2022 Works</w:t>
            </w:r>
          </w:p>
        </w:tc>
        <w:tc>
          <w:tcPr>
            <w:tcW w:type="dxa" w:w="6560"/>
            <w:tcBorders>
              <w:top w:val="single" w:color="666666" w:sz="1"/>
              <w:left w:val="single" w:color="666666" w:sz="1"/>
              <w:bottom w:val="single" w:color="666666" w:sz="1"/>
              <w:right w:val="single" w:color="666666" w:sz="1"/>
            </w:tcBorders>
            <w:shd w:fill="F2F2F2" w:val="clear"/>
          </w:tcPr>
          <w:p>
            <w:r>
              <w:t xml:space="preserve">Breach of Clause 8.1 and trespass</w:t>
            </w:r>
          </w:p>
        </w:tc>
      </w:tr>
      <w:tr>
        <w:tc>
          <w:tcPr>
            <w:tcW w:type="dxa" w:w="2800"/>
            <w:tcBorders>
              <w:top w:val="single" w:color="666666" w:sz="1"/>
              <w:left w:val="single" w:color="666666" w:sz="1"/>
              <w:bottom w:val="single" w:color="666666" w:sz="1"/>
              <w:right w:val="single" w:color="666666" w:sz="1"/>
            </w:tcBorders>
          </w:tcPr>
          <w:p>
            <w:r>
              <w:rPr>
                <w:b/>
                <w:bCs/>
              </w:rPr>
              <w:t xml:space="preserve">Contractor</w:t>
            </w:r>
          </w:p>
        </w:tc>
        <w:tc>
          <w:tcPr>
            <w:tcW w:type="dxa" w:w="6560"/>
            <w:tcBorders>
              <w:top w:val="single" w:color="666666" w:sz="1"/>
              <w:left w:val="single" w:color="666666" w:sz="1"/>
              <w:bottom w:val="single" w:color="666666" w:sz="1"/>
              <w:right w:val="single" w:color="666666" w:sz="1"/>
            </w:tcBorders>
          </w:tcPr>
          <w:p>
            <w:r>
              <w:t xml:space="preserve">Solution Roofing Ltd (Co. 13451861) – dissolved 16 Jan 2024</w:t>
            </w:r>
          </w:p>
        </w:tc>
      </w:tr>
      <w:tr>
        <w:tc>
          <w:tcPr>
            <w:tcW w:type="dxa" w:w="2800"/>
            <w:tcBorders>
              <w:top w:val="single" w:color="666666" w:sz="1"/>
              <w:left w:val="single" w:color="666666" w:sz="1"/>
              <w:bottom w:val="single" w:color="666666" w:sz="1"/>
              <w:right w:val="single" w:color="666666" w:sz="1"/>
            </w:tcBorders>
            <w:shd w:fill="F2F2F2" w:val="clear"/>
          </w:tcPr>
          <w:p>
            <w:r>
              <w:rPr>
                <w:b/>
                <w:bCs/>
              </w:rPr>
              <w:t xml:space="preserve">Company Age</w:t>
            </w:r>
          </w:p>
        </w:tc>
        <w:tc>
          <w:tcPr>
            <w:tcW w:type="dxa" w:w="6560"/>
            <w:tcBorders>
              <w:top w:val="single" w:color="666666" w:sz="1"/>
              <w:left w:val="single" w:color="666666" w:sz="1"/>
              <w:bottom w:val="single" w:color="666666" w:sz="1"/>
              <w:right w:val="single" w:color="666666" w:sz="1"/>
            </w:tcBorders>
            <w:shd w:fill="F2F2F2" w:val="clear"/>
          </w:tcPr>
          <w:p>
            <w:r>
              <w:t xml:space="preserve">Less than 12 months old at time of works</w:t>
            </w:r>
          </w:p>
        </w:tc>
      </w:tr>
      <w:tr>
        <w:tc>
          <w:tcPr>
            <w:tcW w:type="dxa" w:w="2800"/>
            <w:tcBorders>
              <w:top w:val="single" w:color="666666" w:sz="1"/>
              <w:left w:val="single" w:color="666666" w:sz="1"/>
              <w:bottom w:val="single" w:color="666666" w:sz="1"/>
              <w:right w:val="single" w:color="666666" w:sz="1"/>
            </w:tcBorders>
          </w:tcPr>
          <w:p>
            <w:r>
              <w:rPr>
                <w:b/>
                <w:bCs/>
              </w:rPr>
              <w:t xml:space="preserve">Payment</w:t>
            </w:r>
          </w:p>
        </w:tc>
        <w:tc>
          <w:tcPr>
            <w:tcW w:type="dxa" w:w="6560"/>
            <w:tcBorders>
              <w:top w:val="single" w:color="666666" w:sz="1"/>
              <w:left w:val="single" w:color="666666" w:sz="1"/>
              <w:bottom w:val="single" w:color="666666" w:sz="1"/>
              <w:right w:val="single" w:color="666666" w:sz="1"/>
            </w:tcBorders>
          </w:tcPr>
          <w:p>
            <w:r>
              <w:t xml:space="preserve">£3,500 to private individual, not company account</w:t>
            </w:r>
          </w:p>
        </w:tc>
      </w:tr>
      <w:tr>
        <w:tc>
          <w:tcPr>
            <w:tcW w:type="dxa" w:w="2800"/>
            <w:tcBorders>
              <w:top w:val="single" w:color="666666" w:sz="1"/>
              <w:left w:val="single" w:color="666666" w:sz="1"/>
              <w:bottom w:val="single" w:color="666666" w:sz="1"/>
              <w:right w:val="single" w:color="666666" w:sz="1"/>
            </w:tcBorders>
            <w:shd w:fill="F2F2F2" w:val="clear"/>
          </w:tcPr>
          <w:p>
            <w:r>
              <w:rPr>
                <w:b/>
                <w:bCs/>
              </w:rPr>
              <w:t xml:space="preserve">Causation</w:t>
            </w:r>
          </w:p>
        </w:tc>
        <w:tc>
          <w:tcPr>
            <w:tcW w:type="dxa" w:w="6560"/>
            <w:tcBorders>
              <w:top w:val="single" w:color="666666" w:sz="1"/>
              <w:left w:val="single" w:color="666666" w:sz="1"/>
              <w:bottom w:val="single" w:color="666666" w:sz="1"/>
              <w:right w:val="single" w:color="666666" w:sz="1"/>
            </w:tcBorders>
            <w:shd w:fill="F2F2F2" w:val="clear"/>
          </w:tcPr>
          <w:p>
            <w:r>
              <w:t xml:space="preserve">Credible inference works caused/contributed to leaks</w:t>
            </w:r>
          </w:p>
        </w:tc>
      </w:tr>
      <w:tr>
        <w:tc>
          <w:tcPr>
            <w:tcW w:type="dxa" w:w="2800"/>
            <w:tcBorders>
              <w:top w:val="single" w:color="666666" w:sz="1"/>
              <w:left w:val="single" w:color="666666" w:sz="1"/>
              <w:bottom w:val="single" w:color="666666" w:sz="1"/>
              <w:right w:val="single" w:color="666666" w:sz="1"/>
            </w:tcBorders>
          </w:tcPr>
          <w:p>
            <w:r>
              <w:rPr>
                <w:b/>
                <w:bCs/>
              </w:rPr>
              <w:t xml:space="preserve">Costs Recovery</w:t>
            </w:r>
          </w:p>
        </w:tc>
        <w:tc>
          <w:tcPr>
            <w:tcW w:type="dxa" w:w="6560"/>
            <w:tcBorders>
              <w:top w:val="single" w:color="666666" w:sz="1"/>
              <w:left w:val="single" w:color="666666" w:sz="1"/>
              <w:bottom w:val="single" w:color="666666" w:sz="1"/>
              <w:right w:val="single" w:color="666666" w:sz="1"/>
            </w:tcBorders>
          </w:tcPr>
          <w:p>
            <w:r>
              <w:t xml:space="preserve">Full indemnity under Clauses 7 and 16</w:t>
            </w:r>
          </w:p>
        </w:tc>
      </w:tr>
      <w:tr>
        <w:tc>
          <w:tcPr>
            <w:tcW w:type="dxa" w:w="2800"/>
            <w:tcBorders>
              <w:top w:val="single" w:color="666666" w:sz="1"/>
              <w:left w:val="single" w:color="666666" w:sz="1"/>
              <w:bottom w:val="single" w:color="666666" w:sz="1"/>
              <w:right w:val="single" w:color="666666" w:sz="1"/>
            </w:tcBorders>
            <w:shd w:fill="F2F2F2" w:val="clear"/>
          </w:tcPr>
          <w:p>
            <w:r>
              <w:rPr>
                <w:b/>
                <w:bCs/>
              </w:rPr>
              <w:t xml:space="preserve">Tribunal Impact</w:t>
            </w:r>
          </w:p>
        </w:tc>
        <w:tc>
          <w:tcPr>
            <w:tcW w:type="dxa" w:w="6560"/>
            <w:tcBorders>
              <w:top w:val="single" w:color="666666" w:sz="1"/>
              <w:left w:val="single" w:color="666666" w:sz="1"/>
              <w:bottom w:val="single" w:color="666666" w:sz="1"/>
              <w:right w:val="single" w:color="666666" w:sz="1"/>
            </w:tcBorders>
            <w:shd w:fill="F2F2F2" w:val="clear"/>
          </w:tcPr>
          <w:p>
            <w:r>
              <w:t xml:space="preserve">Significantly undermines Tenant's application</w:t>
            </w:r>
          </w:p>
        </w:tc>
      </w:tr>
    </w:tbl>
    <w:p>
      <w:pPr>
        <w:spacing w:before="480"/>
        <w:jc w:val="center"/>
      </w:pPr>
      <w:r>
        <w:rPr>
          <w:i/>
          <w:iCs/>
          <w:color w:val="666666"/>
          <w:sz w:val="20"/>
          <w:szCs w:val="20"/>
        </w:rPr>
        <w:t xml:space="preserve">— End of Legal Commentary —</w:t>
      </w:r>
    </w:p>
    <w:sectPr>
      <w:headerReference w:type="default" r:id="rId6"/>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sz w:val="18"/>
        <w:szCs w:val="18"/>
      </w:rPr>
      <w:t xml:space="preserve">Page </w:t>
    </w:r>
    <w:r>
      <w:rPr>
        <w:sz w:val="18"/>
        <w:szCs w:val="18"/>
      </w:rPr>
      <w:fldChar w:fldCharType="begin"/>
      <w:instrText xml:space="preserve">PAGE</w:instrText>
      <w:fldChar w:fldCharType="separate"/>
      <w:fldChar w:fldCharType="end"/>
    </w:r>
    <w:r>
      <w:rPr>
        <w:sz w:val="18"/>
        <w:szCs w:val="18"/>
      </w:rPr>
      <w:t xml:space="preserve"> of </w:t>
    </w:r>
    <w:r>
      <w:rPr>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b/>
        <w:bCs/>
        <w:color w:val="C00000"/>
        <w:sz w:val="16"/>
        <w:szCs w:val="16"/>
      </w:rPr>
      <w:t xml:space="preserve">PRIVILEGED AND CONFIDENTIAL – INTERNAL NOTES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lowerLetter"/>
      <w:lvlText w:val="(%1)"/>
      <w:lvlJc w:val="left"/>
      <w:pPr>
        <w:ind w:left="1080" w:hanging="360"/>
      </w:pPr>
    </w:lvl>
  </w:abstractNum>
  <w:num w:numId="1">
    <w:abstractNumId w:val="1"/>
    <w:lvlOverride w:ilvl="0">
      <w:startOverride w:val="1"/>
    </w:lvlOverride>
  </w:num>
  <w:num w:numId="2">
    <w:abstractNumId w:val="6"/>
    <w:lvlOverride w:ilvl="0">
      <w:startOverride w:val="1"/>
    </w:lvlOverride>
  </w:num>
  <w:num w:numId="3">
    <w:abstractNumId w:val="2"/>
    <w:lvlOverride w:ilvl="0">
      <w:startOverride w:val="1"/>
    </w:lvlOverride>
  </w:num>
  <w:num w:numId="4">
    <w:abstractNumId w:val="3"/>
    <w:lvlOverride w:ilvl="0">
      <w:startOverride w:val="1"/>
    </w:lvlOverride>
  </w:num>
  <w:num w:numId="5">
    <w:abstractNumId w:val="4"/>
    <w:lvlOverride w:ilvl="0">
      <w:startOverride w:val="1"/>
    </w:lvlOverride>
  </w:num>
  <w:num w:numId="6">
    <w:abstractNumId w:val="5"/>
    <w:lvlOverride w:ilvl="0">
      <w:startOverride w:val="1"/>
    </w:lvlOverride>
  </w:num>
  <w:num w:numId="7">
    <w:abstractNumId w:val="7"/>
    <w:lvlOverride w:ilvl="0">
      <w:startOverride w:val="1"/>
    </w:lvlOverride>
  </w:num>
  <w:num w:numId="8">
    <w:abstractNumId w:val="8"/>
    <w:lvlOverride w:ilvl="0">
      <w:startOverride w:val="1"/>
    </w:lvlOverride>
  </w:num>
  <w:num w:numId="9">
    <w:abstractNumId w:val="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itle">
    <w:name w:val="Title"/>
    <w:basedOn w:val="Normal"/>
    <w:pPr>
      <w:spacing w:before="0" w:after="120"/>
      <w:jc w:val="center"/>
    </w:pPr>
    <w:rPr>
      <w:rFonts w:ascii="Arial" w:cs="Arial" w:eastAsia="Arial" w:hAnsi="Arial"/>
      <w:b/>
      <w:bCs/>
      <w:color w:val="000000"/>
      <w:sz w:val="36"/>
      <w:szCs w:val="36"/>
    </w:rPr>
  </w:style>
  <w:style w:type="paragraph" w:styleId="Heading1">
    <w:name w:val="Heading 1"/>
    <w:basedOn w:val="Normal"/>
    <w:next w:val="Normal"/>
    <w:qFormat/>
    <w:pPr>
      <w:spacing w:before="300" w:after="120"/>
      <w:outlineLvl w:val="0"/>
    </w:pPr>
    <w:rPr>
      <w:rFonts w:ascii="Arial" w:cs="Arial" w:eastAsia="Arial" w:hAnsi="Arial"/>
      <w:b/>
      <w:bCs/>
      <w:color w:val="1F4E79"/>
      <w:sz w:val="26"/>
      <w:szCs w:val="26"/>
    </w:rPr>
  </w:style>
  <w:style w:type="paragraph" w:styleId="Heading2">
    <w:name w:val="Heading 2"/>
    <w:basedOn w:val="Normal"/>
    <w:next w:val="Normal"/>
    <w:qFormat/>
    <w:pPr>
      <w:spacing w:before="200" w:after="100"/>
      <w:outlineLvl w:val="1"/>
    </w:pPr>
    <w:rPr>
      <w:rFonts w:ascii="Arial" w:cs="Arial" w:eastAsia="Arial" w:hAnsi="Arial"/>
      <w:b/>
      <w:bCs/>
      <w:color w:val="2E74B5"/>
      <w:sz w:val="24"/>
      <w:szCs w:val="24"/>
    </w:rPr>
  </w:style>
  <w:style w:type="paragraph" w:styleId="Quote">
    <w:name w:val="Quote"/>
    <w:basedOn w:val="Normal"/>
    <w:pPr>
      <w:spacing w:before="80" w:after="80"/>
      <w:ind w:left="720" w:right="720"/>
    </w:pPr>
    <w:rPr>
      <w:rFonts w:ascii="Arial" w:cs="Arial" w:eastAsia="Arial" w:hAnsi="Arial"/>
      <w:i/>
      <w:iCs/>
      <w:color w:val="404040"/>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2025-12-27T20:46:51.853Z</dcterms:created>
  <dcterms:modified xsi:type="dcterms:W3CDTF">2025-12-27T20:46:51.854Z</dcterms:modified>
</cp:coreProperties>
</file>

<file path=docProps/custom.xml><?xml version="1.0" encoding="utf-8"?>
<Properties xmlns="http://schemas.openxmlformats.org/officeDocument/2006/custom-properties" xmlns:vt="http://schemas.openxmlformats.org/officeDocument/2006/docPropsVTypes"/>
</file>