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Evidence from WH letter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Tribunal significance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Tenant carried out roof works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“…works carried out by our client in 2022…” (para 15)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Confirms the tenant—not landlord—interfered with roof.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 landlord consent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“…were never presented to your client…” (para 16)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Implies absence of consultation or permission → breach of lease.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Self-help without authority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“…our client carried out the short-term solution…” (para 16)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Tenant has no right to perform works to roof. = trespass.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Works outside the demise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WH never claim the roof is his property (paras 15–17).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Structural roof always belongs to freeholder → tenant trespass.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Contractor irregularity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WH do not dispute your allegation of dissolved company; they avoid addressing it (paras 15–17).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Their omission is useful: silence = cannot deny.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£3,500 payment to private individual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Again, WH do not deny your statement from previous correspondence → tacit admission.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Payments outside normal contracting increase negligence inference.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