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1C8A" w14:textId="77777777" w:rsidR="00FB6CBA" w:rsidRDefault="00000000">
      <w:pPr>
        <w:pStyle w:val="Title"/>
      </w:pPr>
      <w:r>
        <w:t>EVIDENCE OF TENANT BREACH</w:t>
      </w:r>
    </w:p>
    <w:p w14:paraId="57A2A5BC" w14:textId="77777777" w:rsidR="00FB6CBA" w:rsidRDefault="00000000">
      <w:pPr>
        <w:spacing w:after="60"/>
        <w:jc w:val="center"/>
      </w:pPr>
      <w:r>
        <w:rPr>
          <w:b/>
          <w:bCs/>
          <w:sz w:val="28"/>
          <w:szCs w:val="28"/>
        </w:rPr>
        <w:t>Insurance Contribution</w:t>
      </w:r>
    </w:p>
    <w:p w14:paraId="15BD01B4" w14:textId="77777777" w:rsidR="00FB6CBA" w:rsidRDefault="00000000">
      <w:pPr>
        <w:spacing w:after="200"/>
        <w:jc w:val="center"/>
      </w:pPr>
      <w:r>
        <w:rPr>
          <w:i/>
          <w:iCs/>
          <w:sz w:val="20"/>
          <w:szCs w:val="20"/>
        </w:rPr>
        <w:t xml:space="preserve">Flat 14, 14-16 </w:t>
      </w:r>
      <w:proofErr w:type="spellStart"/>
      <w:r>
        <w:rPr>
          <w:i/>
          <w:iCs/>
          <w:sz w:val="20"/>
          <w:szCs w:val="20"/>
        </w:rPr>
        <w:t>Carroun</w:t>
      </w:r>
      <w:proofErr w:type="spellEnd"/>
      <w:r>
        <w:rPr>
          <w:i/>
          <w:iCs/>
          <w:sz w:val="20"/>
          <w:szCs w:val="20"/>
        </w:rPr>
        <w:t xml:space="preserve"> Road, London SW8 1JT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B6CBA" w14:paraId="76D67E95" w14:textId="77777777">
        <w:tblPrEx>
          <w:tblCellMar>
            <w:top w:w="0" w:type="dxa"/>
            <w:bottom w:w="0" w:type="dxa"/>
          </w:tblCellMar>
        </w:tblPrEx>
        <w:tc>
          <w:tcPr>
            <w:tcW w:w="9720" w:type="dxa"/>
            <w:tcBorders>
              <w:top w:val="single" w:sz="2" w:space="0" w:color="1F4E79"/>
              <w:left w:val="single" w:sz="2" w:space="0" w:color="1F4E79"/>
              <w:bottom w:val="single" w:sz="2" w:space="0" w:color="1F4E79"/>
              <w:right w:val="single" w:sz="2" w:space="0" w:color="1F4E79"/>
            </w:tcBorders>
            <w:shd w:val="clear" w:color="auto" w:fill="FFF2CC"/>
          </w:tcPr>
          <w:p w14:paraId="0EF71928" w14:textId="77777777" w:rsidR="00FB6CBA" w:rsidRDefault="00000000">
            <w:pPr>
              <w:spacing w:before="100" w:after="80"/>
              <w:jc w:val="center"/>
            </w:pPr>
            <w:r>
              <w:rPr>
                <w:b/>
                <w:bCs/>
                <w:color w:val="806000"/>
                <w:sz w:val="24"/>
                <w:szCs w:val="24"/>
              </w:rPr>
              <w:t>SUMMARY OF INSURANCE ARREARS</w:t>
            </w:r>
          </w:p>
          <w:p w14:paraId="388CC0F0" w14:textId="77777777" w:rsidR="00FB6CBA" w:rsidRDefault="00000000">
            <w:pPr>
              <w:jc w:val="center"/>
            </w:pPr>
            <w:r>
              <w:rPr>
                <w:b/>
                <w:bCs/>
              </w:rPr>
              <w:t xml:space="preserve">Policy: </w:t>
            </w:r>
            <w:r>
              <w:t>MELL4789452XB (Modus/ERGO)</w:t>
            </w:r>
          </w:p>
          <w:p w14:paraId="0AD293E1" w14:textId="77777777" w:rsidR="00FB6CBA" w:rsidRDefault="00000000">
            <w:pPr>
              <w:jc w:val="center"/>
            </w:pPr>
            <w:r>
              <w:rPr>
                <w:b/>
                <w:bCs/>
              </w:rPr>
              <w:t xml:space="preserve">Annual Premium: </w:t>
            </w:r>
            <w:r>
              <w:t>£1,025.89</w:t>
            </w:r>
          </w:p>
          <w:p w14:paraId="4B7FC64D" w14:textId="77777777" w:rsidR="00FB6CBA" w:rsidRDefault="00000000">
            <w:pPr>
              <w:jc w:val="center"/>
            </w:pPr>
            <w:r>
              <w:rPr>
                <w:b/>
                <w:bCs/>
              </w:rPr>
              <w:t xml:space="preserve">Tenant's Share (50%): </w:t>
            </w:r>
            <w:r>
              <w:t>£512.95</w:t>
            </w:r>
          </w:p>
          <w:p w14:paraId="7FE74E36" w14:textId="77777777" w:rsidR="00FB6CBA" w:rsidRDefault="00000000">
            <w:pPr>
              <w:jc w:val="center"/>
            </w:pPr>
            <w:r>
              <w:rPr>
                <w:b/>
                <w:bCs/>
              </w:rPr>
              <w:t xml:space="preserve">Period: </w:t>
            </w:r>
            <w:r>
              <w:t>15 December 2024 – 14 December 2025</w:t>
            </w:r>
          </w:p>
          <w:p w14:paraId="67B07071" w14:textId="77777777" w:rsidR="00FB6CBA" w:rsidRDefault="00000000">
            <w:pPr>
              <w:spacing w:after="100"/>
              <w:jc w:val="center"/>
            </w:pPr>
            <w:r>
              <w:rPr>
                <w:b/>
                <w:bCs/>
                <w:color w:val="C00000"/>
                <w:sz w:val="28"/>
                <w:szCs w:val="28"/>
              </w:rPr>
              <w:t>AMOUNT OUTSTANDING: £512.95</w:t>
            </w:r>
          </w:p>
        </w:tc>
      </w:tr>
    </w:tbl>
    <w:p w14:paraId="1DC30AAC" w14:textId="77777777" w:rsidR="00FB6CBA" w:rsidRDefault="00000000">
      <w:pPr>
        <w:pStyle w:val="Heading1"/>
      </w:pPr>
      <w:r>
        <w:t>1. THE LEASE OBLIGATIONS</w:t>
      </w:r>
    </w:p>
    <w:p w14:paraId="5E7D3BBA" w14:textId="77777777" w:rsidR="00FB6CBA" w:rsidRDefault="00000000">
      <w:pPr>
        <w:pStyle w:val="Heading2"/>
      </w:pPr>
      <w:r>
        <w:t>1.1 Landlord's Obligation to Insure</w:t>
      </w:r>
    </w:p>
    <w:p w14:paraId="05694735" w14:textId="77777777" w:rsidR="00FB6CBA" w:rsidRDefault="00000000">
      <w:pPr>
        <w:spacing w:after="100"/>
      </w:pPr>
      <w:r>
        <w:t>Schedule 6, Clause 2 of the Lease requires the Landlord to:</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B6CBA" w14:paraId="1EDCD0FE" w14:textId="77777777">
        <w:tblPrEx>
          <w:tblCellMar>
            <w:top w:w="0" w:type="dxa"/>
            <w:bottom w:w="0" w:type="dxa"/>
          </w:tblCellMar>
        </w:tblPrEx>
        <w:tc>
          <w:tcPr>
            <w:tcW w:w="9720" w:type="dxa"/>
            <w:tcBorders>
              <w:top w:val="single" w:sz="1" w:space="0" w:color="999999"/>
              <w:left w:val="single" w:sz="1" w:space="0" w:color="999999"/>
              <w:bottom w:val="single" w:sz="1" w:space="0" w:color="999999"/>
              <w:right w:val="single" w:sz="1" w:space="0" w:color="999999"/>
            </w:tcBorders>
            <w:shd w:val="clear" w:color="auto" w:fill="E8F4FD"/>
          </w:tcPr>
          <w:p w14:paraId="32DD80AA" w14:textId="77777777" w:rsidR="00FB6CBA" w:rsidRDefault="00000000">
            <w:pPr>
              <w:spacing w:before="60" w:after="60"/>
            </w:pPr>
            <w:r>
              <w:rPr>
                <w:b/>
                <w:bCs/>
                <w:color w:val="1F4E79"/>
              </w:rPr>
              <w:t xml:space="preserve">LEASE: </w:t>
            </w:r>
            <w:r>
              <w:rPr>
                <w:b/>
                <w:bCs/>
              </w:rPr>
              <w:t>Schedule 6, Clause 2.1</w:t>
            </w:r>
          </w:p>
          <w:p w14:paraId="769DCD60" w14:textId="77777777" w:rsidR="00FB6CBA" w:rsidRDefault="00000000">
            <w:pPr>
              <w:spacing w:after="80"/>
              <w:ind w:left="288" w:right="288"/>
            </w:pPr>
            <w:r>
              <w:rPr>
                <w:i/>
                <w:iCs/>
              </w:rPr>
              <w:t xml:space="preserve">"To effect and maintain insurance of the </w:t>
            </w:r>
            <w:proofErr w:type="gramStart"/>
            <w:r>
              <w:rPr>
                <w:i/>
                <w:iCs/>
              </w:rPr>
              <w:t>Building</w:t>
            </w:r>
            <w:proofErr w:type="gramEnd"/>
            <w:r>
              <w:rPr>
                <w:i/>
                <w:iCs/>
              </w:rPr>
              <w:t xml:space="preserve"> against loss or damage caused by any of the Insured Risks with reputable insurers, on fair and reasonable terms that represent value for money, for an amount not less than the Reinstatement Value..."</w:t>
            </w:r>
          </w:p>
        </w:tc>
      </w:tr>
    </w:tbl>
    <w:p w14:paraId="184A5028" w14:textId="77777777" w:rsidR="00FB6CBA" w:rsidRDefault="00000000">
      <w:pPr>
        <w:pStyle w:val="Heading2"/>
      </w:pPr>
      <w:r>
        <w:t>1.2 Tenant's Obligation to Contribute</w:t>
      </w:r>
    </w:p>
    <w:p w14:paraId="75F1C4A0" w14:textId="77777777" w:rsidR="00FB6CBA" w:rsidRDefault="00000000">
      <w:pPr>
        <w:spacing w:after="100"/>
      </w:pPr>
      <w:r>
        <w:t xml:space="preserve">Schedule 4, Clause 2 requires the Tenant to pay 50% of costs relating to the </w:t>
      </w:r>
      <w:proofErr w:type="gramStart"/>
      <w:r>
        <w:t>Building</w:t>
      </w:r>
      <w:proofErr w:type="gramEnd"/>
      <w:r>
        <w: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B6CBA" w14:paraId="768F6C9B" w14:textId="77777777">
        <w:tblPrEx>
          <w:tblCellMar>
            <w:top w:w="0" w:type="dxa"/>
            <w:bottom w:w="0" w:type="dxa"/>
          </w:tblCellMar>
        </w:tblPrEx>
        <w:tc>
          <w:tcPr>
            <w:tcW w:w="9720" w:type="dxa"/>
            <w:tcBorders>
              <w:top w:val="single" w:sz="1" w:space="0" w:color="999999"/>
              <w:left w:val="single" w:sz="1" w:space="0" w:color="999999"/>
              <w:bottom w:val="single" w:sz="1" w:space="0" w:color="999999"/>
              <w:right w:val="single" w:sz="1" w:space="0" w:color="999999"/>
            </w:tcBorders>
            <w:shd w:val="clear" w:color="auto" w:fill="E8F4FD"/>
          </w:tcPr>
          <w:p w14:paraId="571133DF" w14:textId="77777777" w:rsidR="00FB6CBA" w:rsidRDefault="00000000">
            <w:pPr>
              <w:spacing w:before="60" w:after="60"/>
            </w:pPr>
            <w:r>
              <w:rPr>
                <w:b/>
                <w:bCs/>
                <w:color w:val="1F4E79"/>
              </w:rPr>
              <w:t xml:space="preserve">LEASE: </w:t>
            </w:r>
            <w:r>
              <w:rPr>
                <w:b/>
                <w:bCs/>
              </w:rPr>
              <w:t>Schedule 4, Clause 2</w:t>
            </w:r>
          </w:p>
          <w:p w14:paraId="49FFD4B1" w14:textId="77777777" w:rsidR="00FB6CBA" w:rsidRDefault="00000000">
            <w:pPr>
              <w:spacing w:after="80"/>
              <w:ind w:left="288" w:right="288"/>
            </w:pPr>
            <w:r>
              <w:rPr>
                <w:i/>
                <w:iCs/>
              </w:rPr>
              <w:t xml:space="preserve">"(a) 50% of any such rates, taxes or other impositions that are payable in respect of the </w:t>
            </w:r>
            <w:proofErr w:type="gramStart"/>
            <w:r>
              <w:rPr>
                <w:i/>
                <w:iCs/>
              </w:rPr>
              <w:t>Building</w:t>
            </w:r>
            <w:proofErr w:type="gramEnd"/>
            <w:r>
              <w:rPr>
                <w:i/>
                <w:iCs/>
              </w:rPr>
              <w:t>..."</w:t>
            </w:r>
          </w:p>
        </w:tc>
      </w:tr>
    </w:tbl>
    <w:p w14:paraId="77465C22" w14:textId="77777777" w:rsidR="00FB6CBA" w:rsidRDefault="00000000">
      <w:pPr>
        <w:spacing w:before="120" w:after="80"/>
      </w:pPr>
      <w:r>
        <w:rPr>
          <w:b/>
          <w:bCs/>
          <w:color w:val="1F4E79"/>
        </w:rPr>
        <w:t xml:space="preserve">Combined Effect: </w:t>
      </w:r>
      <w:r>
        <w:t xml:space="preserve">The Landlord must insure the </w:t>
      </w:r>
      <w:proofErr w:type="gramStart"/>
      <w:r>
        <w:t>Building</w:t>
      </w:r>
      <w:proofErr w:type="gramEnd"/>
      <w:r>
        <w:t>; the Tenant must contribute 50% of the premium cost.</w:t>
      </w:r>
    </w:p>
    <w:p w14:paraId="61497EDC" w14:textId="77777777" w:rsidR="00FB6CBA" w:rsidRDefault="00000000">
      <w:pPr>
        <w:pStyle w:val="Heading1"/>
      </w:pPr>
      <w:r>
        <w:t>2. IMPORTANT CONTEXT – INSURANCE HISTORY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B6CBA" w14:paraId="1A8FCED1" w14:textId="77777777">
        <w:tblPrEx>
          <w:tblCellMar>
            <w:top w:w="0" w:type="dxa"/>
            <w:bottom w:w="0" w:type="dxa"/>
          </w:tblCellMar>
        </w:tblPrEx>
        <w:tc>
          <w:tcPr>
            <w:tcW w:w="9720" w:type="dxa"/>
            <w:tcBorders>
              <w:top w:val="single" w:sz="2" w:space="0" w:color="ED7D31"/>
              <w:left w:val="single" w:sz="2" w:space="0" w:color="ED7D31"/>
              <w:bottom w:val="single" w:sz="2" w:space="0" w:color="ED7D31"/>
              <w:right w:val="single" w:sz="2" w:space="0" w:color="ED7D31"/>
            </w:tcBorders>
            <w:shd w:val="clear" w:color="auto" w:fill="FBE5D6"/>
          </w:tcPr>
          <w:p w14:paraId="5B949729" w14:textId="77777777" w:rsidR="00FB6CBA" w:rsidRDefault="00000000">
            <w:pPr>
              <w:spacing w:before="100" w:after="80"/>
            </w:pPr>
            <w:r>
              <w:rPr>
                <w:b/>
                <w:bCs/>
                <w:color w:val="C65911"/>
              </w:rPr>
              <w:t>NOTE ON INSURANCE GAP (2018-2024)</w:t>
            </w:r>
          </w:p>
          <w:p w14:paraId="6E77E68B" w14:textId="77777777" w:rsidR="00FB6CBA" w:rsidRDefault="00000000">
            <w:pPr>
              <w:spacing w:after="60"/>
            </w:pPr>
            <w:r>
              <w:t>There was a period from approximately 2018 to December 2024 during which buildings insurance was not in place. This arose from a mutual misunderstanding about responsibilities under the Lease.</w:t>
            </w:r>
          </w:p>
          <w:p w14:paraId="08D45CDC" w14:textId="77777777" w:rsidR="00FB6CBA" w:rsidRDefault="00000000">
            <w:pPr>
              <w:spacing w:after="60"/>
            </w:pPr>
            <w:r>
              <w:rPr>
                <w:b/>
                <w:bCs/>
              </w:rPr>
              <w:t>The Landlord does NOT claim any insurance contribution from the Tenant for this period</w:t>
            </w:r>
            <w:r>
              <w:t xml:space="preserve"> – the Landlord cannot claim contribution to insurance that was not </w:t>
            </w:r>
            <w:proofErr w:type="gramStart"/>
            <w:r>
              <w:t>effected</w:t>
            </w:r>
            <w:proofErr w:type="gramEnd"/>
            <w:r>
              <w:t>.</w:t>
            </w:r>
          </w:p>
          <w:p w14:paraId="55FB08DC" w14:textId="77777777" w:rsidR="00FB6CBA" w:rsidRDefault="00000000">
            <w:pPr>
              <w:spacing w:after="100"/>
            </w:pPr>
            <w:r>
              <w:t xml:space="preserve">This breach claim relates </w:t>
            </w:r>
            <w:r>
              <w:rPr>
                <w:b/>
                <w:bCs/>
              </w:rPr>
              <w:t>only to December 2024 onwards</w:t>
            </w:r>
            <w:r>
              <w:t>, when the Landlord (having taken legal advice) put proper buildings insurance in place.</w:t>
            </w:r>
          </w:p>
        </w:tc>
      </w:tr>
    </w:tbl>
    <w:p w14:paraId="19FDFB2C" w14:textId="77777777" w:rsidR="00FB6CBA" w:rsidRDefault="00000000">
      <w:pPr>
        <w:pStyle w:val="Heading1"/>
      </w:pPr>
      <w:r>
        <w:t>3. CURRENT INSURANCE POLICY</w:t>
      </w:r>
    </w:p>
    <w:p w14:paraId="3F999942" w14:textId="77777777" w:rsidR="00FB6CBA" w:rsidRDefault="00000000">
      <w:pPr>
        <w:spacing w:after="100"/>
      </w:pPr>
      <w:r>
        <w:t xml:space="preserve">The Landlord has </w:t>
      </w:r>
      <w:proofErr w:type="gramStart"/>
      <w:r>
        <w:t>effected</w:t>
      </w:r>
      <w:proofErr w:type="gramEnd"/>
      <w:r>
        <w:t xml:space="preserve"> buildings insurance as follows: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6120"/>
      </w:tblGrid>
      <w:tr w:rsidR="00FB6CBA" w14:paraId="3E9F933F" w14:textId="77777777">
        <w:tblPrEx>
          <w:tblCellMar>
            <w:top w:w="0" w:type="dxa"/>
            <w:bottom w:w="0" w:type="dxa"/>
          </w:tblCellMar>
        </w:tblPrEx>
        <w:tc>
          <w:tcPr>
            <w:tcW w:w="3600" w:type="dxa"/>
            <w:tcBorders>
              <w:top w:val="single" w:sz="1" w:space="0" w:color="999999"/>
              <w:left w:val="single" w:sz="1" w:space="0" w:color="999999"/>
              <w:bottom w:val="single" w:sz="1" w:space="0" w:color="999999"/>
              <w:right w:val="single" w:sz="1" w:space="0" w:color="999999"/>
            </w:tcBorders>
            <w:shd w:val="clear" w:color="auto" w:fill="1F4E79"/>
          </w:tcPr>
          <w:p w14:paraId="02993D64" w14:textId="77777777" w:rsidR="00FB6CBA" w:rsidRDefault="00000000">
            <w:r>
              <w:rPr>
                <w:b/>
                <w:bCs/>
                <w:color w:val="FFFFFF"/>
              </w:rPr>
              <w:t>Detail</w:t>
            </w:r>
          </w:p>
        </w:tc>
        <w:tc>
          <w:tcPr>
            <w:tcW w:w="6120" w:type="dxa"/>
            <w:tcBorders>
              <w:top w:val="single" w:sz="1" w:space="0" w:color="999999"/>
              <w:left w:val="single" w:sz="1" w:space="0" w:color="999999"/>
              <w:bottom w:val="single" w:sz="1" w:space="0" w:color="999999"/>
              <w:right w:val="single" w:sz="1" w:space="0" w:color="999999"/>
            </w:tcBorders>
            <w:shd w:val="clear" w:color="auto" w:fill="1F4E79"/>
          </w:tcPr>
          <w:p w14:paraId="4BD4D296" w14:textId="77777777" w:rsidR="00FB6CBA" w:rsidRDefault="00000000">
            <w:r>
              <w:rPr>
                <w:b/>
                <w:bCs/>
                <w:color w:val="FFFFFF"/>
              </w:rPr>
              <w:t>Information</w:t>
            </w:r>
          </w:p>
        </w:tc>
      </w:tr>
      <w:tr w:rsidR="00FB6CBA" w14:paraId="155F59B0" w14:textId="77777777">
        <w:tblPrEx>
          <w:tblCellMar>
            <w:top w:w="0" w:type="dxa"/>
            <w:bottom w:w="0" w:type="dxa"/>
          </w:tblCellMar>
        </w:tblPrEx>
        <w:tc>
          <w:tcPr>
            <w:tcW w:w="3600" w:type="dxa"/>
            <w:tcBorders>
              <w:top w:val="single" w:sz="1" w:space="0" w:color="999999"/>
              <w:left w:val="single" w:sz="1" w:space="0" w:color="999999"/>
              <w:bottom w:val="single" w:sz="1" w:space="0" w:color="999999"/>
              <w:right w:val="single" w:sz="1" w:space="0" w:color="999999"/>
            </w:tcBorders>
          </w:tcPr>
          <w:p w14:paraId="0AE09EB3" w14:textId="77777777" w:rsidR="00FB6CBA" w:rsidRDefault="00000000">
            <w:r>
              <w:rPr>
                <w:b/>
                <w:bCs/>
              </w:rPr>
              <w:t>Policy Reference</w:t>
            </w:r>
          </w:p>
        </w:tc>
        <w:tc>
          <w:tcPr>
            <w:tcW w:w="6120" w:type="dxa"/>
            <w:tcBorders>
              <w:top w:val="single" w:sz="1" w:space="0" w:color="999999"/>
              <w:left w:val="single" w:sz="1" w:space="0" w:color="999999"/>
              <w:bottom w:val="single" w:sz="1" w:space="0" w:color="999999"/>
              <w:right w:val="single" w:sz="1" w:space="0" w:color="999999"/>
            </w:tcBorders>
          </w:tcPr>
          <w:p w14:paraId="6634DF17" w14:textId="77777777" w:rsidR="00FB6CBA" w:rsidRDefault="00000000">
            <w:r>
              <w:t>MELL4789452XB</w:t>
            </w:r>
          </w:p>
        </w:tc>
      </w:tr>
      <w:tr w:rsidR="00FB6CBA" w14:paraId="22DAB3F7" w14:textId="77777777">
        <w:tblPrEx>
          <w:tblCellMar>
            <w:top w:w="0" w:type="dxa"/>
            <w:bottom w:w="0" w:type="dxa"/>
          </w:tblCellMar>
        </w:tblPrEx>
        <w:tc>
          <w:tcPr>
            <w:tcW w:w="3600" w:type="dxa"/>
            <w:tcBorders>
              <w:top w:val="single" w:sz="1" w:space="0" w:color="999999"/>
              <w:left w:val="single" w:sz="1" w:space="0" w:color="999999"/>
              <w:bottom w:val="single" w:sz="1" w:space="0" w:color="999999"/>
              <w:right w:val="single" w:sz="1" w:space="0" w:color="999999"/>
            </w:tcBorders>
          </w:tcPr>
          <w:p w14:paraId="060070BC" w14:textId="77777777" w:rsidR="00FB6CBA" w:rsidRDefault="00000000">
            <w:r>
              <w:rPr>
                <w:b/>
                <w:bCs/>
              </w:rPr>
              <w:t>Insurer</w:t>
            </w:r>
          </w:p>
        </w:tc>
        <w:tc>
          <w:tcPr>
            <w:tcW w:w="6120" w:type="dxa"/>
            <w:tcBorders>
              <w:top w:val="single" w:sz="1" w:space="0" w:color="999999"/>
              <w:left w:val="single" w:sz="1" w:space="0" w:color="999999"/>
              <w:bottom w:val="single" w:sz="1" w:space="0" w:color="999999"/>
              <w:right w:val="single" w:sz="1" w:space="0" w:color="999999"/>
            </w:tcBorders>
          </w:tcPr>
          <w:p w14:paraId="59F18DD3" w14:textId="77777777" w:rsidR="00FB6CBA" w:rsidRDefault="00000000">
            <w:r>
              <w:t>Modus Underwriting Limited / ERGO</w:t>
            </w:r>
          </w:p>
        </w:tc>
      </w:tr>
      <w:tr w:rsidR="00FB6CBA" w14:paraId="7ECD79C0" w14:textId="77777777">
        <w:tblPrEx>
          <w:tblCellMar>
            <w:top w:w="0" w:type="dxa"/>
            <w:bottom w:w="0" w:type="dxa"/>
          </w:tblCellMar>
        </w:tblPrEx>
        <w:tc>
          <w:tcPr>
            <w:tcW w:w="3600" w:type="dxa"/>
            <w:tcBorders>
              <w:top w:val="single" w:sz="1" w:space="0" w:color="999999"/>
              <w:left w:val="single" w:sz="1" w:space="0" w:color="999999"/>
              <w:bottom w:val="single" w:sz="1" w:space="0" w:color="999999"/>
              <w:right w:val="single" w:sz="1" w:space="0" w:color="999999"/>
            </w:tcBorders>
          </w:tcPr>
          <w:p w14:paraId="3B36DC2E" w14:textId="77777777" w:rsidR="00FB6CBA" w:rsidRDefault="00000000">
            <w:r>
              <w:rPr>
                <w:b/>
                <w:bCs/>
              </w:rPr>
              <w:t>Period of Insurance</w:t>
            </w:r>
          </w:p>
        </w:tc>
        <w:tc>
          <w:tcPr>
            <w:tcW w:w="6120" w:type="dxa"/>
            <w:tcBorders>
              <w:top w:val="single" w:sz="1" w:space="0" w:color="999999"/>
              <w:left w:val="single" w:sz="1" w:space="0" w:color="999999"/>
              <w:bottom w:val="single" w:sz="1" w:space="0" w:color="999999"/>
              <w:right w:val="single" w:sz="1" w:space="0" w:color="999999"/>
            </w:tcBorders>
          </w:tcPr>
          <w:p w14:paraId="42A99532" w14:textId="77777777" w:rsidR="00FB6CBA" w:rsidRDefault="00000000">
            <w:r>
              <w:t>15 December 2024 – 14 December 2025</w:t>
            </w:r>
          </w:p>
        </w:tc>
      </w:tr>
      <w:tr w:rsidR="00FB6CBA" w14:paraId="3F8782A6" w14:textId="77777777">
        <w:tblPrEx>
          <w:tblCellMar>
            <w:top w:w="0" w:type="dxa"/>
            <w:bottom w:w="0" w:type="dxa"/>
          </w:tblCellMar>
        </w:tblPrEx>
        <w:tc>
          <w:tcPr>
            <w:tcW w:w="3600" w:type="dxa"/>
            <w:tcBorders>
              <w:top w:val="single" w:sz="1" w:space="0" w:color="999999"/>
              <w:left w:val="single" w:sz="1" w:space="0" w:color="999999"/>
              <w:bottom w:val="single" w:sz="1" w:space="0" w:color="999999"/>
              <w:right w:val="single" w:sz="1" w:space="0" w:color="999999"/>
            </w:tcBorders>
          </w:tcPr>
          <w:p w14:paraId="2BC4ABBE" w14:textId="77777777" w:rsidR="00FB6CBA" w:rsidRDefault="00000000">
            <w:r>
              <w:rPr>
                <w:b/>
                <w:bCs/>
              </w:rPr>
              <w:t>Annual Premium</w:t>
            </w:r>
          </w:p>
        </w:tc>
        <w:tc>
          <w:tcPr>
            <w:tcW w:w="6120" w:type="dxa"/>
            <w:tcBorders>
              <w:top w:val="single" w:sz="1" w:space="0" w:color="999999"/>
              <w:left w:val="single" w:sz="1" w:space="0" w:color="999999"/>
              <w:bottom w:val="single" w:sz="1" w:space="0" w:color="999999"/>
              <w:right w:val="single" w:sz="1" w:space="0" w:color="999999"/>
            </w:tcBorders>
          </w:tcPr>
          <w:p w14:paraId="32FD6E91" w14:textId="77777777" w:rsidR="00FB6CBA" w:rsidRDefault="00000000">
            <w:r>
              <w:t>£915.98</w:t>
            </w:r>
          </w:p>
        </w:tc>
      </w:tr>
      <w:tr w:rsidR="00FB6CBA" w14:paraId="78892AE2" w14:textId="77777777">
        <w:tblPrEx>
          <w:tblCellMar>
            <w:top w:w="0" w:type="dxa"/>
            <w:bottom w:w="0" w:type="dxa"/>
          </w:tblCellMar>
        </w:tblPrEx>
        <w:tc>
          <w:tcPr>
            <w:tcW w:w="3600" w:type="dxa"/>
            <w:tcBorders>
              <w:top w:val="single" w:sz="1" w:space="0" w:color="999999"/>
              <w:left w:val="single" w:sz="1" w:space="0" w:color="999999"/>
              <w:bottom w:val="single" w:sz="1" w:space="0" w:color="999999"/>
              <w:right w:val="single" w:sz="1" w:space="0" w:color="999999"/>
            </w:tcBorders>
          </w:tcPr>
          <w:p w14:paraId="4CABE934" w14:textId="77777777" w:rsidR="00FB6CBA" w:rsidRDefault="00000000">
            <w:r>
              <w:rPr>
                <w:b/>
                <w:bCs/>
              </w:rPr>
              <w:t>Insurance Premium Tax</w:t>
            </w:r>
          </w:p>
        </w:tc>
        <w:tc>
          <w:tcPr>
            <w:tcW w:w="6120" w:type="dxa"/>
            <w:tcBorders>
              <w:top w:val="single" w:sz="1" w:space="0" w:color="999999"/>
              <w:left w:val="single" w:sz="1" w:space="0" w:color="999999"/>
              <w:bottom w:val="single" w:sz="1" w:space="0" w:color="999999"/>
              <w:right w:val="single" w:sz="1" w:space="0" w:color="999999"/>
            </w:tcBorders>
          </w:tcPr>
          <w:p w14:paraId="7A1E53FE" w14:textId="77777777" w:rsidR="00FB6CBA" w:rsidRDefault="00000000">
            <w:r>
              <w:t>£109.91 (12%)</w:t>
            </w:r>
          </w:p>
        </w:tc>
      </w:tr>
      <w:tr w:rsidR="00FB6CBA" w14:paraId="19F548AF" w14:textId="77777777">
        <w:tblPrEx>
          <w:tblCellMar>
            <w:top w:w="0" w:type="dxa"/>
            <w:bottom w:w="0" w:type="dxa"/>
          </w:tblCellMar>
        </w:tblPrEx>
        <w:tc>
          <w:tcPr>
            <w:tcW w:w="3600" w:type="dxa"/>
            <w:tcBorders>
              <w:top w:val="single" w:sz="1" w:space="0" w:color="999999"/>
              <w:left w:val="single" w:sz="1" w:space="0" w:color="999999"/>
              <w:bottom w:val="single" w:sz="1" w:space="0" w:color="999999"/>
              <w:right w:val="single" w:sz="1" w:space="0" w:color="999999"/>
            </w:tcBorders>
            <w:shd w:val="clear" w:color="auto" w:fill="E8E8E8"/>
          </w:tcPr>
          <w:p w14:paraId="413F2ACB" w14:textId="77777777" w:rsidR="00FB6CBA" w:rsidRDefault="00000000">
            <w:r>
              <w:rPr>
                <w:b/>
                <w:bCs/>
              </w:rPr>
              <w:t>Total Premium</w:t>
            </w:r>
          </w:p>
        </w:tc>
        <w:tc>
          <w:tcPr>
            <w:tcW w:w="6120" w:type="dxa"/>
            <w:tcBorders>
              <w:top w:val="single" w:sz="1" w:space="0" w:color="999999"/>
              <w:left w:val="single" w:sz="1" w:space="0" w:color="999999"/>
              <w:bottom w:val="single" w:sz="1" w:space="0" w:color="999999"/>
              <w:right w:val="single" w:sz="1" w:space="0" w:color="999999"/>
            </w:tcBorders>
            <w:shd w:val="clear" w:color="auto" w:fill="E8E8E8"/>
          </w:tcPr>
          <w:p w14:paraId="2F598FFA" w14:textId="77777777" w:rsidR="00FB6CBA" w:rsidRDefault="00000000">
            <w:r>
              <w:rPr>
                <w:b/>
                <w:bCs/>
              </w:rPr>
              <w:t>£1,025.89</w:t>
            </w:r>
          </w:p>
        </w:tc>
      </w:tr>
      <w:tr w:rsidR="00FB6CBA" w14:paraId="0217937E" w14:textId="77777777">
        <w:tblPrEx>
          <w:tblCellMar>
            <w:top w:w="0" w:type="dxa"/>
            <w:bottom w:w="0" w:type="dxa"/>
          </w:tblCellMar>
        </w:tblPrEx>
        <w:tc>
          <w:tcPr>
            <w:tcW w:w="3600" w:type="dxa"/>
            <w:tcBorders>
              <w:top w:val="single" w:sz="1" w:space="0" w:color="999999"/>
              <w:left w:val="single" w:sz="1" w:space="0" w:color="999999"/>
              <w:bottom w:val="single" w:sz="1" w:space="0" w:color="999999"/>
              <w:right w:val="single" w:sz="1" w:space="0" w:color="999999"/>
            </w:tcBorders>
            <w:shd w:val="clear" w:color="auto" w:fill="FFCCCC"/>
          </w:tcPr>
          <w:p w14:paraId="71F21366" w14:textId="77777777" w:rsidR="00FB6CBA" w:rsidRDefault="00000000">
            <w:r>
              <w:rPr>
                <w:b/>
                <w:bCs/>
              </w:rPr>
              <w:t>Tenant's 50% Share</w:t>
            </w:r>
          </w:p>
        </w:tc>
        <w:tc>
          <w:tcPr>
            <w:tcW w:w="6120" w:type="dxa"/>
            <w:tcBorders>
              <w:top w:val="single" w:sz="1" w:space="0" w:color="999999"/>
              <w:left w:val="single" w:sz="1" w:space="0" w:color="999999"/>
              <w:bottom w:val="single" w:sz="1" w:space="0" w:color="999999"/>
              <w:right w:val="single" w:sz="1" w:space="0" w:color="999999"/>
            </w:tcBorders>
            <w:shd w:val="clear" w:color="auto" w:fill="FFCCCC"/>
          </w:tcPr>
          <w:p w14:paraId="6EDF283D" w14:textId="77777777" w:rsidR="00FB6CBA" w:rsidRDefault="00000000">
            <w:r>
              <w:rPr>
                <w:b/>
                <w:bCs/>
                <w:color w:val="C00000"/>
              </w:rPr>
              <w:t>£512.95</w:t>
            </w:r>
          </w:p>
        </w:tc>
      </w:tr>
    </w:tbl>
    <w:p w14:paraId="5D81E877" w14:textId="77777777" w:rsidR="00FB6CBA" w:rsidRDefault="00000000">
      <w:pPr>
        <w:spacing w:before="120" w:after="80"/>
      </w:pPr>
      <w:r>
        <w:rPr>
          <w:b/>
          <w:bCs/>
        </w:rPr>
        <w:lastRenderedPageBreak/>
        <w:t xml:space="preserve">Evidence: </w:t>
      </w:r>
      <w:r>
        <w:t>Policy schedule and certificate of insurance are available on request.</w:t>
      </w:r>
    </w:p>
    <w:p w14:paraId="5BC01711" w14:textId="77777777" w:rsidR="00FB6CBA" w:rsidRDefault="00000000">
      <w:pPr>
        <w:pStyle w:val="Heading1"/>
      </w:pPr>
      <w:r>
        <w:t>4. THE BREACH</w:t>
      </w:r>
    </w:p>
    <w:p w14:paraId="7341BEFD" w14:textId="77777777" w:rsidR="00FB6CBA" w:rsidRDefault="00000000">
      <w:pPr>
        <w:spacing w:after="100"/>
      </w:pPr>
      <w:r>
        <w:t xml:space="preserve">The Landlord has </w:t>
      </w:r>
      <w:proofErr w:type="gramStart"/>
      <w:r>
        <w:t>effected</w:t>
      </w:r>
      <w:proofErr w:type="gramEnd"/>
      <w:r>
        <w:t xml:space="preserve"> buildings insurance as required under the Lease. The Tenant has </w:t>
      </w:r>
      <w:r>
        <w:rPr>
          <w:b/>
          <w:bCs/>
        </w:rPr>
        <w:t>failed to pay his 50% contribution of £512.95</w:t>
      </w:r>
      <w:r>
        <w:t xml:space="preserve"> for the policy year December 2024 – December 2025.</w:t>
      </w:r>
    </w:p>
    <w:p w14:paraId="3C48EB9E" w14:textId="77777777" w:rsidR="00FB6CBA" w:rsidRDefault="00000000">
      <w:pPr>
        <w:pStyle w:val="Heading2"/>
      </w:pPr>
      <w:r>
        <w:t>4.1 Why the Landlord Has Not Yet Invoiced</w:t>
      </w:r>
    </w:p>
    <w:p w14:paraId="5483E20A" w14:textId="77777777" w:rsidR="00FB6CBA" w:rsidRDefault="00000000">
      <w:pPr>
        <w:spacing w:after="100"/>
      </w:pPr>
      <w:r>
        <w:t>The Landlord has not yet issued a formal invoice for the insurance contribution due to the ongoing dispute and a desire to avoid escalating the conflict. However:</w:t>
      </w:r>
    </w:p>
    <w:p w14:paraId="62838B13" w14:textId="77777777" w:rsidR="00FB6CBA" w:rsidRDefault="00000000">
      <w:pPr>
        <w:pStyle w:val="ListParagraph"/>
        <w:numPr>
          <w:ilvl w:val="0"/>
          <w:numId w:val="2"/>
        </w:numPr>
      </w:pPr>
      <w:r>
        <w:t>The Tenant's obligation to contribute arises from the Lease, not from a formal demand</w:t>
      </w:r>
    </w:p>
    <w:p w14:paraId="6B7B31E4" w14:textId="77777777" w:rsidR="00FB6CBA" w:rsidRDefault="00000000">
      <w:pPr>
        <w:pStyle w:val="ListParagraph"/>
        <w:numPr>
          <w:ilvl w:val="0"/>
          <w:numId w:val="2"/>
        </w:numPr>
      </w:pPr>
      <w:r>
        <w:t>The Landlord's forbearance does not extinguish the debt</w:t>
      </w:r>
    </w:p>
    <w:p w14:paraId="7035D76F" w14:textId="77777777" w:rsidR="00FB6CBA" w:rsidRDefault="00000000">
      <w:pPr>
        <w:pStyle w:val="ListParagraph"/>
        <w:numPr>
          <w:ilvl w:val="0"/>
          <w:numId w:val="2"/>
        </w:numPr>
      </w:pPr>
      <w:r>
        <w:t>The Landlord reserves the right to claim this contribution at any time</w:t>
      </w:r>
    </w:p>
    <w:p w14:paraId="5C96B4D5" w14:textId="77777777" w:rsidR="00FB6CBA" w:rsidRDefault="00000000">
      <w:pPr>
        <w:pStyle w:val="Heading1"/>
      </w:pPr>
      <w:r>
        <w:t>5. CONCLUSION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B6CBA" w14:paraId="3EAB6B7E" w14:textId="77777777">
        <w:tblPrEx>
          <w:tblCellMar>
            <w:top w:w="0" w:type="dxa"/>
            <w:bottom w:w="0" w:type="dxa"/>
          </w:tblCellMar>
        </w:tblPrEx>
        <w:tc>
          <w:tcPr>
            <w:tcW w:w="9720" w:type="dxa"/>
            <w:tcBorders>
              <w:top w:val="single" w:sz="2" w:space="0" w:color="1F4E79"/>
              <w:left w:val="single" w:sz="2" w:space="0" w:color="1F4E79"/>
              <w:bottom w:val="single" w:sz="2" w:space="0" w:color="1F4E79"/>
              <w:right w:val="single" w:sz="2" w:space="0" w:color="1F4E79"/>
            </w:tcBorders>
            <w:shd w:val="clear" w:color="auto" w:fill="E8F4FD"/>
          </w:tcPr>
          <w:p w14:paraId="1CA444CB" w14:textId="77777777" w:rsidR="00FB6CBA" w:rsidRDefault="00000000">
            <w:pPr>
              <w:spacing w:before="100" w:after="80"/>
            </w:pPr>
            <w:r>
              <w:rPr>
                <w:b/>
                <w:bCs/>
              </w:rPr>
              <w:t>The Tenant is in breach of his obligation to contribute towards buildings insurance.</w:t>
            </w:r>
          </w:p>
          <w:p w14:paraId="64EFEB6C" w14:textId="77777777" w:rsidR="00FB6CBA" w:rsidRDefault="00000000">
            <w:pPr>
              <w:pStyle w:val="ListParagraph"/>
              <w:numPr>
                <w:ilvl w:val="0"/>
                <w:numId w:val="2"/>
              </w:numPr>
            </w:pPr>
            <w:r>
              <w:t>Insurance contribution of £512.95 is outstanding for Dec 2024 – Dec 2025</w:t>
            </w:r>
          </w:p>
          <w:p w14:paraId="6327799B" w14:textId="77777777" w:rsidR="00FB6CBA" w:rsidRDefault="00000000">
            <w:pPr>
              <w:pStyle w:val="ListParagraph"/>
              <w:numPr>
                <w:ilvl w:val="0"/>
                <w:numId w:val="2"/>
              </w:numPr>
            </w:pPr>
            <w:r>
              <w:t>The Landlord has fulfilled her obligation to effect buildings insurance</w:t>
            </w:r>
          </w:p>
          <w:p w14:paraId="7C71144F" w14:textId="77777777" w:rsidR="00FB6CBA" w:rsidRDefault="00000000">
            <w:pPr>
              <w:pStyle w:val="ListParagraph"/>
              <w:numPr>
                <w:ilvl w:val="0"/>
                <w:numId w:val="2"/>
              </w:numPr>
            </w:pPr>
            <w:r>
              <w:t>The Tenant's 50% contribution obligation arises automatically under the Lease</w:t>
            </w:r>
          </w:p>
          <w:p w14:paraId="19251536" w14:textId="77777777" w:rsidR="00FB6CBA" w:rsidRDefault="00000000">
            <w:pPr>
              <w:pStyle w:val="ListParagraph"/>
              <w:numPr>
                <w:ilvl w:val="0"/>
                <w:numId w:val="2"/>
              </w:numPr>
              <w:spacing w:after="100"/>
            </w:pPr>
            <w:r>
              <w:t>The Landlord reserves the right to claim this sum plus any future annual premiums</w:t>
            </w:r>
          </w:p>
        </w:tc>
      </w:tr>
    </w:tbl>
    <w:p w14:paraId="5147A76D" w14:textId="77777777" w:rsidR="00FB6CBA" w:rsidRDefault="00000000">
      <w:pPr>
        <w:spacing w:before="200"/>
        <w:jc w:val="center"/>
      </w:pPr>
      <w:r>
        <w:rPr>
          <w:i/>
          <w:iCs/>
          <w:color w:val="666666"/>
          <w:sz w:val="18"/>
          <w:szCs w:val="18"/>
        </w:rPr>
        <w:t>— End of Document —</w:t>
      </w:r>
    </w:p>
    <w:p w14:paraId="44EED498" w14:textId="77777777" w:rsidR="00FB6CBA" w:rsidRDefault="00000000">
      <w:pPr>
        <w:jc w:val="center"/>
      </w:pPr>
      <w:r>
        <w:rPr>
          <w:color w:val="999999"/>
          <w:sz w:val="16"/>
          <w:szCs w:val="16"/>
        </w:rPr>
        <w:t>Prepared: 28 December 2025</w:t>
      </w:r>
    </w:p>
    <w:sectPr w:rsidR="00FB6CBA">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7228" w14:textId="77777777" w:rsidR="00EE7BB2" w:rsidRDefault="00EE7BB2">
      <w:r>
        <w:separator/>
      </w:r>
    </w:p>
  </w:endnote>
  <w:endnote w:type="continuationSeparator" w:id="0">
    <w:p w14:paraId="2D088AA9" w14:textId="77777777" w:rsidR="00EE7BB2" w:rsidRDefault="00EE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D1EF" w14:textId="77777777" w:rsidR="00FB6CBA" w:rsidRDefault="00000000">
    <w:pPr>
      <w:jc w:val="center"/>
    </w:pPr>
    <w:r>
      <w:rPr>
        <w:sz w:val="18"/>
        <w:szCs w:val="18"/>
      </w:rPr>
      <w:t xml:space="preserve">14-16 </w:t>
    </w:r>
    <w:proofErr w:type="spellStart"/>
    <w:r>
      <w:rPr>
        <w:sz w:val="18"/>
        <w:szCs w:val="18"/>
      </w:rPr>
      <w:t>Carroun</w:t>
    </w:r>
    <w:proofErr w:type="spellEnd"/>
    <w:r>
      <w:rPr>
        <w:sz w:val="18"/>
        <w:szCs w:val="18"/>
      </w:rPr>
      <w:t xml:space="preserve"> Road | Breach Evidence | Page </w:t>
    </w:r>
    <w:r>
      <w:rPr>
        <w:sz w:val="18"/>
        <w:szCs w:val="18"/>
      </w:rPr>
      <w:fldChar w:fldCharType="begin"/>
    </w:r>
    <w:r>
      <w:rPr>
        <w:sz w:val="18"/>
        <w:szCs w:val="18"/>
      </w:rPr>
      <w:instrText>PAGE</w:instrText>
    </w:r>
    <w:r>
      <w:rPr>
        <w:sz w:val="18"/>
        <w:szCs w:val="18"/>
      </w:rPr>
      <w:fldChar w:fldCharType="separate"/>
    </w:r>
    <w:r w:rsidR="00F216C7">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F216C7">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2CB9" w14:textId="77777777" w:rsidR="00EE7BB2" w:rsidRDefault="00EE7BB2">
      <w:r>
        <w:separator/>
      </w:r>
    </w:p>
  </w:footnote>
  <w:footnote w:type="continuationSeparator" w:id="0">
    <w:p w14:paraId="1B695E3A" w14:textId="77777777" w:rsidR="00EE7BB2" w:rsidRDefault="00EE7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0EF" w14:textId="77777777" w:rsidR="00FB6CBA" w:rsidRDefault="00000000">
    <w:pPr>
      <w:jc w:val="right"/>
    </w:pPr>
    <w:r>
      <w:rPr>
        <w:b/>
        <w:bCs/>
        <w:color w:val="C00000"/>
        <w:sz w:val="16"/>
        <w:szCs w:val="16"/>
      </w:rPr>
      <w:t>TENANT BREACH – INSURANCE CONTRIBUTION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5B30"/>
    <w:multiLevelType w:val="hybridMultilevel"/>
    <w:tmpl w:val="2EEEE4E2"/>
    <w:lvl w:ilvl="0" w:tplc="3848A1C6">
      <w:start w:val="1"/>
      <w:numFmt w:val="bullet"/>
      <w:lvlText w:val="•"/>
      <w:lvlJc w:val="left"/>
      <w:pPr>
        <w:ind w:left="720" w:hanging="360"/>
      </w:pPr>
    </w:lvl>
    <w:lvl w:ilvl="1" w:tplc="C90C8320">
      <w:numFmt w:val="decimal"/>
      <w:lvlText w:val=""/>
      <w:lvlJc w:val="left"/>
    </w:lvl>
    <w:lvl w:ilvl="2" w:tplc="CE622542">
      <w:numFmt w:val="decimal"/>
      <w:lvlText w:val=""/>
      <w:lvlJc w:val="left"/>
    </w:lvl>
    <w:lvl w:ilvl="3" w:tplc="AFB42B4C">
      <w:numFmt w:val="decimal"/>
      <w:lvlText w:val=""/>
      <w:lvlJc w:val="left"/>
    </w:lvl>
    <w:lvl w:ilvl="4" w:tplc="7ED65F04">
      <w:numFmt w:val="decimal"/>
      <w:lvlText w:val=""/>
      <w:lvlJc w:val="left"/>
    </w:lvl>
    <w:lvl w:ilvl="5" w:tplc="A912C67C">
      <w:numFmt w:val="decimal"/>
      <w:lvlText w:val=""/>
      <w:lvlJc w:val="left"/>
    </w:lvl>
    <w:lvl w:ilvl="6" w:tplc="FA24C9A2">
      <w:numFmt w:val="decimal"/>
      <w:lvlText w:val=""/>
      <w:lvlJc w:val="left"/>
    </w:lvl>
    <w:lvl w:ilvl="7" w:tplc="E9BEBBAA">
      <w:numFmt w:val="decimal"/>
      <w:lvlText w:val=""/>
      <w:lvlJc w:val="left"/>
    </w:lvl>
    <w:lvl w:ilvl="8" w:tplc="0D0493A2">
      <w:numFmt w:val="decimal"/>
      <w:lvlText w:val=""/>
      <w:lvlJc w:val="left"/>
    </w:lvl>
  </w:abstractNum>
  <w:abstractNum w:abstractNumId="1" w15:restartNumberingAfterBreak="0">
    <w:nsid w:val="44041F90"/>
    <w:multiLevelType w:val="hybridMultilevel"/>
    <w:tmpl w:val="09FAFB30"/>
    <w:lvl w:ilvl="0" w:tplc="1B8AE086">
      <w:start w:val="1"/>
      <w:numFmt w:val="decimal"/>
      <w:lvlText w:val="%1."/>
      <w:lvlJc w:val="left"/>
      <w:pPr>
        <w:ind w:left="720" w:hanging="360"/>
      </w:pPr>
    </w:lvl>
    <w:lvl w:ilvl="1" w:tplc="3AA63E02">
      <w:numFmt w:val="decimal"/>
      <w:lvlText w:val=""/>
      <w:lvlJc w:val="left"/>
    </w:lvl>
    <w:lvl w:ilvl="2" w:tplc="594875EE">
      <w:numFmt w:val="decimal"/>
      <w:lvlText w:val=""/>
      <w:lvlJc w:val="left"/>
    </w:lvl>
    <w:lvl w:ilvl="3" w:tplc="BDDAE460">
      <w:numFmt w:val="decimal"/>
      <w:lvlText w:val=""/>
      <w:lvlJc w:val="left"/>
    </w:lvl>
    <w:lvl w:ilvl="4" w:tplc="F56E181E">
      <w:numFmt w:val="decimal"/>
      <w:lvlText w:val=""/>
      <w:lvlJc w:val="left"/>
    </w:lvl>
    <w:lvl w:ilvl="5" w:tplc="7EB6B2A0">
      <w:numFmt w:val="decimal"/>
      <w:lvlText w:val=""/>
      <w:lvlJc w:val="left"/>
    </w:lvl>
    <w:lvl w:ilvl="6" w:tplc="13FAD2AE">
      <w:numFmt w:val="decimal"/>
      <w:lvlText w:val=""/>
      <w:lvlJc w:val="left"/>
    </w:lvl>
    <w:lvl w:ilvl="7" w:tplc="D7DEE466">
      <w:numFmt w:val="decimal"/>
      <w:lvlText w:val=""/>
      <w:lvlJc w:val="left"/>
    </w:lvl>
    <w:lvl w:ilvl="8" w:tplc="B1DE3BD2">
      <w:numFmt w:val="decimal"/>
      <w:lvlText w:val=""/>
      <w:lvlJc w:val="left"/>
    </w:lvl>
  </w:abstractNum>
  <w:abstractNum w:abstractNumId="2" w15:restartNumberingAfterBreak="0">
    <w:nsid w:val="449D7FCA"/>
    <w:multiLevelType w:val="hybridMultilevel"/>
    <w:tmpl w:val="9ED00072"/>
    <w:lvl w:ilvl="0" w:tplc="9202D902">
      <w:start w:val="1"/>
      <w:numFmt w:val="bullet"/>
      <w:lvlText w:val="●"/>
      <w:lvlJc w:val="left"/>
      <w:pPr>
        <w:ind w:left="720" w:hanging="360"/>
      </w:pPr>
    </w:lvl>
    <w:lvl w:ilvl="1" w:tplc="C0CCF1DE">
      <w:start w:val="1"/>
      <w:numFmt w:val="bullet"/>
      <w:lvlText w:val="○"/>
      <w:lvlJc w:val="left"/>
      <w:pPr>
        <w:ind w:left="1440" w:hanging="360"/>
      </w:pPr>
    </w:lvl>
    <w:lvl w:ilvl="2" w:tplc="85663D86">
      <w:start w:val="1"/>
      <w:numFmt w:val="bullet"/>
      <w:lvlText w:val="■"/>
      <w:lvlJc w:val="left"/>
      <w:pPr>
        <w:ind w:left="2160" w:hanging="360"/>
      </w:pPr>
    </w:lvl>
    <w:lvl w:ilvl="3" w:tplc="A176A53A">
      <w:start w:val="1"/>
      <w:numFmt w:val="bullet"/>
      <w:lvlText w:val="●"/>
      <w:lvlJc w:val="left"/>
      <w:pPr>
        <w:ind w:left="2880" w:hanging="360"/>
      </w:pPr>
    </w:lvl>
    <w:lvl w:ilvl="4" w:tplc="3E3844C6">
      <w:start w:val="1"/>
      <w:numFmt w:val="bullet"/>
      <w:lvlText w:val="○"/>
      <w:lvlJc w:val="left"/>
      <w:pPr>
        <w:ind w:left="3600" w:hanging="360"/>
      </w:pPr>
    </w:lvl>
    <w:lvl w:ilvl="5" w:tplc="CD3E6C20">
      <w:start w:val="1"/>
      <w:numFmt w:val="bullet"/>
      <w:lvlText w:val="■"/>
      <w:lvlJc w:val="left"/>
      <w:pPr>
        <w:ind w:left="4320" w:hanging="360"/>
      </w:pPr>
    </w:lvl>
    <w:lvl w:ilvl="6" w:tplc="8E84FC3C">
      <w:start w:val="1"/>
      <w:numFmt w:val="bullet"/>
      <w:lvlText w:val="●"/>
      <w:lvlJc w:val="left"/>
      <w:pPr>
        <w:ind w:left="5040" w:hanging="360"/>
      </w:pPr>
    </w:lvl>
    <w:lvl w:ilvl="7" w:tplc="165418F2">
      <w:start w:val="1"/>
      <w:numFmt w:val="bullet"/>
      <w:lvlText w:val="●"/>
      <w:lvlJc w:val="left"/>
      <w:pPr>
        <w:ind w:left="5760" w:hanging="360"/>
      </w:pPr>
    </w:lvl>
    <w:lvl w:ilvl="8" w:tplc="48483DF6">
      <w:start w:val="1"/>
      <w:numFmt w:val="bullet"/>
      <w:lvlText w:val="●"/>
      <w:lvlJc w:val="left"/>
      <w:pPr>
        <w:ind w:left="6480" w:hanging="360"/>
      </w:pPr>
    </w:lvl>
  </w:abstractNum>
  <w:num w:numId="1" w16cid:durableId="2010134858">
    <w:abstractNumId w:val="2"/>
    <w:lvlOverride w:ilvl="0">
      <w:startOverride w:val="1"/>
    </w:lvlOverride>
  </w:num>
  <w:num w:numId="2" w16cid:durableId="10923184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CBA"/>
    <w:rsid w:val="00EE7BB2"/>
    <w:rsid w:val="00F216C7"/>
    <w:rsid w:val="00FB6CBA"/>
    <w:rsid w:val="00FC2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805F"/>
  <w15:docId w15:val="{EEBAB5ED-5CAC-4CF4-B363-B822C1E6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4E79"/>
      <w:sz w:val="26"/>
      <w:szCs w:val="26"/>
    </w:rPr>
  </w:style>
  <w:style w:type="paragraph" w:styleId="Heading2">
    <w:name w:val="heading 2"/>
    <w:uiPriority w:val="9"/>
    <w:unhideWhenUsed/>
    <w:qFormat/>
    <w:pPr>
      <w:spacing w:before="180" w:after="80"/>
      <w:outlineLvl w:val="1"/>
    </w:pPr>
    <w:rPr>
      <w:b/>
      <w:bCs/>
      <w:color w:val="2E74B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jc w:val="center"/>
    </w:pPr>
    <w:rPr>
      <w:b/>
      <w:bCs/>
      <w:color w:val="1F4E79"/>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2642</Characters>
  <Application>Microsoft Office Word</Application>
  <DocSecurity>0</DocSecurity>
  <Lines>68</Lines>
  <Paragraphs>58</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365 Pro Plus</cp:lastModifiedBy>
  <cp:revision>2</cp:revision>
  <dcterms:created xsi:type="dcterms:W3CDTF">2025-12-28T21:44:00Z</dcterms:created>
  <dcterms:modified xsi:type="dcterms:W3CDTF">2025-12-28T21:44:00Z</dcterms:modified>
</cp:coreProperties>
</file>