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7AA5" w14:textId="77777777" w:rsidR="00744577" w:rsidRDefault="00000000">
      <w:pPr>
        <w:pStyle w:val="Title"/>
      </w:pPr>
      <w:r>
        <w:t>EVIDENCE OF TENANT BREACH</w:t>
      </w:r>
    </w:p>
    <w:p w14:paraId="7794CFC0" w14:textId="77777777" w:rsidR="00744577" w:rsidRDefault="00000000">
      <w:pPr>
        <w:spacing w:after="60"/>
        <w:jc w:val="center"/>
      </w:pPr>
      <w:r>
        <w:rPr>
          <w:b/>
          <w:bCs/>
          <w:sz w:val="28"/>
          <w:szCs w:val="28"/>
        </w:rPr>
        <w:t>Ground Rent Arrears</w:t>
      </w:r>
    </w:p>
    <w:p w14:paraId="22F2E15A" w14:textId="77777777" w:rsidR="00744577" w:rsidRDefault="00000000">
      <w:pPr>
        <w:spacing w:after="200"/>
        <w:jc w:val="center"/>
      </w:pPr>
      <w:r>
        <w:rPr>
          <w:i/>
          <w:iCs/>
          <w:sz w:val="20"/>
          <w:szCs w:val="20"/>
        </w:rPr>
        <w:t xml:space="preserve">Flat 14, 14-16 </w:t>
      </w:r>
      <w:proofErr w:type="spellStart"/>
      <w:r>
        <w:rPr>
          <w:i/>
          <w:iCs/>
          <w:sz w:val="20"/>
          <w:szCs w:val="20"/>
        </w:rPr>
        <w:t>Carroun</w:t>
      </w:r>
      <w:proofErr w:type="spellEnd"/>
      <w:r>
        <w:rPr>
          <w:i/>
          <w:iCs/>
          <w:sz w:val="20"/>
          <w:szCs w:val="20"/>
        </w:rPr>
        <w:t xml:space="preserve"> Road, London SW8 1JT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744577" w14:paraId="42559150" w14:textId="77777777">
        <w:tblPrEx>
          <w:tblCellMar>
            <w:top w:w="0" w:type="dxa"/>
            <w:bottom w:w="0" w:type="dxa"/>
          </w:tblCellMar>
        </w:tblPrEx>
        <w:tc>
          <w:tcPr>
            <w:tcW w:w="9720" w:type="dxa"/>
            <w:tcBorders>
              <w:top w:val="single" w:sz="2" w:space="0" w:color="1F4E79"/>
              <w:left w:val="single" w:sz="2" w:space="0" w:color="1F4E79"/>
              <w:bottom w:val="single" w:sz="2" w:space="0" w:color="1F4E79"/>
              <w:right w:val="single" w:sz="2" w:space="0" w:color="1F4E79"/>
            </w:tcBorders>
            <w:shd w:val="clear" w:color="auto" w:fill="FFF2CC"/>
          </w:tcPr>
          <w:p w14:paraId="5ABC030C" w14:textId="77777777" w:rsidR="00744577" w:rsidRDefault="00000000">
            <w:pPr>
              <w:spacing w:before="100" w:after="80"/>
              <w:jc w:val="center"/>
            </w:pPr>
            <w:r>
              <w:rPr>
                <w:b/>
                <w:bCs/>
                <w:color w:val="806000"/>
                <w:sz w:val="24"/>
                <w:szCs w:val="24"/>
              </w:rPr>
              <w:t>SUMMARY OF ARREARS</w:t>
            </w:r>
          </w:p>
          <w:p w14:paraId="79CDDCE4" w14:textId="77777777" w:rsidR="00744577" w:rsidRDefault="00000000">
            <w:pPr>
              <w:jc w:val="center"/>
            </w:pPr>
            <w:r>
              <w:rPr>
                <w:b/>
                <w:bCs/>
              </w:rPr>
              <w:t xml:space="preserve">Tenant: </w:t>
            </w:r>
            <w:r>
              <w:t>Mr Albert Sarpong</w:t>
            </w:r>
          </w:p>
          <w:p w14:paraId="69A0087E" w14:textId="77777777" w:rsidR="00744577" w:rsidRDefault="00000000">
            <w:pPr>
              <w:jc w:val="center"/>
            </w:pPr>
            <w:r>
              <w:rPr>
                <w:b/>
                <w:bCs/>
              </w:rPr>
              <w:t xml:space="preserve">Annual Ground Rent: </w:t>
            </w:r>
            <w:r>
              <w:t>£250</w:t>
            </w:r>
          </w:p>
          <w:p w14:paraId="3B72B8BE" w14:textId="77777777" w:rsidR="00744577" w:rsidRDefault="00000000">
            <w:pPr>
              <w:jc w:val="center"/>
            </w:pPr>
            <w:r>
              <w:rPr>
                <w:b/>
                <w:bCs/>
              </w:rPr>
              <w:t xml:space="preserve">Years in Arrears: </w:t>
            </w:r>
            <w:r>
              <w:t>2021, 2022, 2023, 2024</w:t>
            </w:r>
          </w:p>
          <w:p w14:paraId="3B262B3D" w14:textId="77777777" w:rsidR="00744577" w:rsidRDefault="00000000">
            <w:pPr>
              <w:spacing w:after="100"/>
              <w:jc w:val="center"/>
            </w:pPr>
            <w:r>
              <w:rPr>
                <w:b/>
                <w:bCs/>
                <w:color w:val="C00000"/>
                <w:sz w:val="28"/>
                <w:szCs w:val="28"/>
              </w:rPr>
              <w:t>TOTAL OUTSTANDING: £1,000.00</w:t>
            </w:r>
          </w:p>
        </w:tc>
      </w:tr>
    </w:tbl>
    <w:p w14:paraId="67B46ED8" w14:textId="77777777" w:rsidR="00744577" w:rsidRDefault="00000000">
      <w:pPr>
        <w:pStyle w:val="Heading1"/>
      </w:pPr>
      <w:r>
        <w:t>1. THE LEASE OBLIGATION</w:t>
      </w:r>
    </w:p>
    <w:p w14:paraId="100D4AEF" w14:textId="77777777" w:rsidR="00744577" w:rsidRDefault="00000000">
      <w:pPr>
        <w:spacing w:after="100"/>
      </w:pPr>
      <w:r>
        <w:t xml:space="preserve">The Lease dated 8 November 2013 reserves a ground rent of </w:t>
      </w:r>
      <w:r>
        <w:rPr>
          <w:b/>
          <w:bCs/>
        </w:rPr>
        <w:t>£250 per annum</w:t>
      </w:r>
      <w:r>
        <w:t xml:space="preserve">. This obligation exists </w:t>
      </w:r>
      <w:proofErr w:type="gramStart"/>
      <w:r>
        <w:rPr>
          <w:b/>
          <w:bCs/>
        </w:rPr>
        <w:t>whether or not</w:t>
      </w:r>
      <w:proofErr w:type="gramEnd"/>
      <w:r>
        <w:rPr>
          <w:b/>
          <w:bCs/>
        </w:rPr>
        <w:t xml:space="preserve"> the rent is formally demanded</w:t>
      </w:r>
      <w:r>
        <w:t xml:space="preserve"> by the Landlord.</w:t>
      </w:r>
    </w:p>
    <w:p w14:paraId="69006CF7" w14:textId="77777777" w:rsidR="00744577" w:rsidRDefault="00000000">
      <w:pPr>
        <w:pStyle w:val="Heading2"/>
      </w:pPr>
      <w:r>
        <w:t>1.1 Confirmation of Legal Position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744577" w14:paraId="461A4526"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50613E22" w14:textId="77777777" w:rsidR="00744577" w:rsidRDefault="00000000">
            <w:pPr>
              <w:spacing w:before="60" w:after="60"/>
            </w:pPr>
            <w:r>
              <w:rPr>
                <w:b/>
                <w:bCs/>
                <w:color w:val="1F4E79"/>
              </w:rPr>
              <w:t xml:space="preserve">SOURCE: </w:t>
            </w:r>
            <w:r>
              <w:rPr>
                <w:b/>
                <w:bCs/>
              </w:rPr>
              <w:t>Letter from Stan Harris (SA Law) to Al Sarpong, 22 June 2023</w:t>
            </w:r>
          </w:p>
          <w:p w14:paraId="3D99889A" w14:textId="77777777" w:rsidR="00744577" w:rsidRDefault="00000000">
            <w:pPr>
              <w:spacing w:after="80"/>
              <w:ind w:left="288" w:right="288"/>
            </w:pPr>
            <w:r>
              <w:rPr>
                <w:i/>
                <w:iCs/>
              </w:rPr>
              <w:t xml:space="preserve">"Our </w:t>
            </w:r>
            <w:proofErr w:type="gramStart"/>
            <w:r>
              <w:rPr>
                <w:i/>
                <w:iCs/>
              </w:rPr>
              <w:t>Client</w:t>
            </w:r>
            <w:proofErr w:type="gramEnd"/>
            <w:r>
              <w:rPr>
                <w:i/>
                <w:iCs/>
              </w:rPr>
              <w:t xml:space="preserve"> has not invoiced you for the last two years for the annual ground rent at £250 per year </w:t>
            </w:r>
            <w:r>
              <w:rPr>
                <w:b/>
                <w:bCs/>
                <w:i/>
                <w:iCs/>
              </w:rPr>
              <w:t>notwithstanding your obligation to pay the ground rent whether or not it is demanded</w:t>
            </w:r>
            <w:r>
              <w:rPr>
                <w:i/>
                <w:iCs/>
              </w:rPr>
              <w:t>."</w:t>
            </w:r>
          </w:p>
        </w:tc>
      </w:tr>
    </w:tbl>
    <w:p w14:paraId="78DBAE66" w14:textId="77777777" w:rsidR="00744577" w:rsidRDefault="00000000">
      <w:pPr>
        <w:spacing w:before="120" w:after="80"/>
      </w:pPr>
      <w:r>
        <w:rPr>
          <w:b/>
          <w:bCs/>
          <w:color w:val="1F4E79"/>
        </w:rPr>
        <w:t xml:space="preserve">Legal Significance: </w:t>
      </w:r>
      <w:r>
        <w:t>This confirms that the Tenant's obligation to pay ground rent arises from the Lease itself, not from any demand or invoice issued by the Landlord. The Landlord's choice not to invoice does not extinguish or waive the debt.</w:t>
      </w:r>
    </w:p>
    <w:p w14:paraId="1EBE78F7" w14:textId="77777777" w:rsidR="00744577" w:rsidRDefault="00000000">
      <w:pPr>
        <w:pStyle w:val="Heading1"/>
      </w:pPr>
      <w:r>
        <w:t>2. TENANT'S ACKNOWLEDGMENT OF THE DEBT</w:t>
      </w:r>
    </w:p>
    <w:p w14:paraId="0C336397" w14:textId="77777777" w:rsidR="00744577" w:rsidRDefault="00000000">
      <w:pPr>
        <w:spacing w:after="100"/>
      </w:pPr>
      <w:r>
        <w:t>The Tenant himself acknowledged that ground rent was outstanding in his correspondence: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744577" w14:paraId="6ED366C9"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2EFDA"/>
          </w:tcPr>
          <w:p w14:paraId="2A8052C0" w14:textId="77777777" w:rsidR="00744577" w:rsidRDefault="00000000">
            <w:pPr>
              <w:spacing w:before="60" w:after="60"/>
            </w:pPr>
            <w:r>
              <w:rPr>
                <w:b/>
                <w:bCs/>
                <w:color w:val="2E7D32"/>
              </w:rPr>
              <w:t xml:space="preserve">SOURCE: </w:t>
            </w:r>
            <w:r>
              <w:rPr>
                <w:b/>
                <w:bCs/>
              </w:rPr>
              <w:t>Email from Al Sarpong to Stan Harris, 25 June 2023</w:t>
            </w:r>
          </w:p>
          <w:p w14:paraId="17F360C0" w14:textId="77777777" w:rsidR="00744577" w:rsidRDefault="00000000">
            <w:pPr>
              <w:spacing w:after="80"/>
              <w:ind w:left="288" w:right="288"/>
            </w:pPr>
            <w:r>
              <w:rPr>
                <w:i/>
                <w:iCs/>
              </w:rPr>
              <w:t xml:space="preserve">"I appreciate your client wants to settle this dispute with the same level of willingness as I wish to. However, even </w:t>
            </w:r>
            <w:proofErr w:type="gramStart"/>
            <w:r>
              <w:rPr>
                <w:i/>
                <w:iCs/>
              </w:rPr>
              <w:t>taking into account</w:t>
            </w:r>
            <w:proofErr w:type="gramEnd"/>
            <w:r>
              <w:rPr>
                <w:i/>
                <w:iCs/>
              </w:rPr>
              <w:t xml:space="preserve"> </w:t>
            </w:r>
            <w:r>
              <w:rPr>
                <w:b/>
                <w:bCs/>
                <w:i/>
                <w:iCs/>
              </w:rPr>
              <w:t>the ground rent freezes which your client agreed to</w:t>
            </w:r>
            <w:r>
              <w:rPr>
                <w:i/>
                <w:iCs/>
              </w:rPr>
              <w:t xml:space="preserve"> until this matter was resolved, I will not be accepting an offer of just £500 to settle..."</w:t>
            </w:r>
          </w:p>
        </w:tc>
      </w:tr>
    </w:tbl>
    <w:p w14:paraId="3F1B2056" w14:textId="77777777" w:rsidR="00744577" w:rsidRDefault="00000000">
      <w:pPr>
        <w:spacing w:before="120" w:after="80"/>
      </w:pPr>
      <w:r>
        <w:rPr>
          <w:b/>
          <w:bCs/>
          <w:color w:val="2E7D32"/>
        </w:rPr>
        <w:t xml:space="preserve">Significance: </w:t>
      </w:r>
      <w:r>
        <w:t>The Tenant's own words confirm: (a) he knew ground rent was outstanding; (b) he understood he had an obligation to pay it; (c) the only reason he had not paid was the Landlord's forbearance pending settlement discussions. Since no settlement was reached, the debt remains due.</w:t>
      </w:r>
    </w:p>
    <w:p w14:paraId="0EB44BB4" w14:textId="77777777" w:rsidR="00744577" w:rsidRDefault="00000000">
      <w:pPr>
        <w:pStyle w:val="Heading1"/>
      </w:pPr>
      <w:r>
        <w:t>3. WHY THE LANDLORD'S FORBEARANCE DOES NOT WEAKEN THIS CLAIM</w:t>
      </w:r>
    </w:p>
    <w:p w14:paraId="35C8DE4E" w14:textId="77777777" w:rsidR="00744577" w:rsidRDefault="00000000">
      <w:pPr>
        <w:pStyle w:val="ListParagraph"/>
        <w:numPr>
          <w:ilvl w:val="0"/>
          <w:numId w:val="2"/>
        </w:numPr>
      </w:pPr>
      <w:r>
        <w:rPr>
          <w:b/>
          <w:bCs/>
        </w:rPr>
        <w:t xml:space="preserve">The obligation arises from the Lease, not from demands. </w:t>
      </w:r>
      <w:r>
        <w:t xml:space="preserve">Ground rent is payable </w:t>
      </w:r>
      <w:proofErr w:type="gramStart"/>
      <w:r>
        <w:t>whether or not</w:t>
      </w:r>
      <w:proofErr w:type="gramEnd"/>
      <w:r>
        <w:t xml:space="preserve"> invoiced. The Landlord's decision not to invoice was a commercial decision to de-escalate conflict, not a waiver of the right to payment.</w:t>
      </w:r>
    </w:p>
    <w:p w14:paraId="76052CBA" w14:textId="77777777" w:rsidR="00744577" w:rsidRDefault="00000000">
      <w:pPr>
        <w:pStyle w:val="ListParagraph"/>
        <w:numPr>
          <w:ilvl w:val="0"/>
          <w:numId w:val="2"/>
        </w:numPr>
      </w:pPr>
      <w:r>
        <w:rPr>
          <w:b/>
          <w:bCs/>
        </w:rPr>
        <w:t xml:space="preserve">Settlement discussions were WITHOUT PREJUDICE. </w:t>
      </w:r>
      <w:r>
        <w:t>All correspondence offering to offset ground rent against the Tenant's disputed claims was marked WITHOUT PREJUDICE. Such discussions are legally inadmissible as evidence of any admission.</w:t>
      </w:r>
    </w:p>
    <w:p w14:paraId="3F91C5F8" w14:textId="77777777" w:rsidR="00744577" w:rsidRDefault="00000000">
      <w:pPr>
        <w:pStyle w:val="ListParagraph"/>
        <w:numPr>
          <w:ilvl w:val="0"/>
          <w:numId w:val="2"/>
        </w:numPr>
      </w:pPr>
      <w:r>
        <w:rPr>
          <w:b/>
          <w:bCs/>
        </w:rPr>
        <w:t xml:space="preserve">Offers were conditional on settlement. </w:t>
      </w:r>
      <w:r>
        <w:t>The offer to 'regard the nonpayment of rent as offsetting your claim' was conditional on the Tenant accepting the settlement. The Tenant rejected the settlement; therefore, the condition was never satisfied.</w:t>
      </w:r>
    </w:p>
    <w:p w14:paraId="5664923C" w14:textId="77777777" w:rsidR="00744577" w:rsidRDefault="00000000">
      <w:pPr>
        <w:pStyle w:val="ListParagraph"/>
        <w:numPr>
          <w:ilvl w:val="0"/>
          <w:numId w:val="2"/>
        </w:numPr>
      </w:pPr>
      <w:r>
        <w:rPr>
          <w:b/>
          <w:bCs/>
        </w:rPr>
        <w:t xml:space="preserve">No settlement was reached. </w:t>
      </w:r>
      <w:r>
        <w:t>The Tenant rejected the Landlord's offers. No binding agreement was concluded. The original obligations under the Lease remain in full force.</w:t>
      </w:r>
    </w:p>
    <w:p w14:paraId="6B4AEB26" w14:textId="77777777" w:rsidR="00744577" w:rsidRDefault="00000000">
      <w:pPr>
        <w:pStyle w:val="ListParagraph"/>
        <w:numPr>
          <w:ilvl w:val="0"/>
          <w:numId w:val="2"/>
        </w:numPr>
      </w:pPr>
      <w:r>
        <w:rPr>
          <w:b/>
          <w:bCs/>
        </w:rPr>
        <w:t xml:space="preserve">Offsetting against disputed claims is NOT an admission. </w:t>
      </w:r>
      <w:r>
        <w:t xml:space="preserve">The Landlord's willingness to offset ground rent against the Tenant's claimed expenses does NOT constitute acceptance </w:t>
      </w:r>
      <w:r>
        <w:lastRenderedPageBreak/>
        <w:t>that those expenses were legitimate or recoverable. The Landlord's solicitor explicitly disputed the £3,500 claim and called the payment 'irregular and wrong'.</w:t>
      </w:r>
    </w:p>
    <w:p w14:paraId="342C0B77" w14:textId="77777777" w:rsidR="00744577" w:rsidRDefault="00000000">
      <w:pPr>
        <w:pStyle w:val="Heading1"/>
      </w:pPr>
      <w:r>
        <w:t>4. SCHEDULE OF GROUND RENT ARREARS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2520"/>
      </w:tblGrid>
      <w:tr w:rsidR="00744577" w14:paraId="3112AC26" w14:textId="77777777">
        <w:tblPrEx>
          <w:tblCellMar>
            <w:top w:w="0" w:type="dxa"/>
            <w:bottom w:w="0" w:type="dxa"/>
          </w:tblCellMar>
        </w:tblPrEx>
        <w:tc>
          <w:tcPr>
            <w:tcW w:w="2400" w:type="dxa"/>
            <w:tcBorders>
              <w:top w:val="single" w:sz="1" w:space="0" w:color="999999"/>
              <w:left w:val="single" w:sz="1" w:space="0" w:color="999999"/>
              <w:bottom w:val="single" w:sz="1" w:space="0" w:color="999999"/>
              <w:right w:val="single" w:sz="1" w:space="0" w:color="999999"/>
            </w:tcBorders>
            <w:shd w:val="clear" w:color="auto" w:fill="1F4E79"/>
          </w:tcPr>
          <w:p w14:paraId="18C0950C" w14:textId="77777777" w:rsidR="00744577" w:rsidRDefault="00000000">
            <w:pPr>
              <w:jc w:val="center"/>
            </w:pPr>
            <w:r>
              <w:rPr>
                <w:b/>
                <w:bCs/>
                <w:color w:val="FFFFFF"/>
              </w:rPr>
              <w:t>Year</w:t>
            </w:r>
          </w:p>
        </w:tc>
        <w:tc>
          <w:tcPr>
            <w:tcW w:w="2400" w:type="dxa"/>
            <w:tcBorders>
              <w:top w:val="single" w:sz="1" w:space="0" w:color="999999"/>
              <w:left w:val="single" w:sz="1" w:space="0" w:color="999999"/>
              <w:bottom w:val="single" w:sz="1" w:space="0" w:color="999999"/>
              <w:right w:val="single" w:sz="1" w:space="0" w:color="999999"/>
            </w:tcBorders>
            <w:shd w:val="clear" w:color="auto" w:fill="1F4E79"/>
          </w:tcPr>
          <w:p w14:paraId="2F22A568" w14:textId="77777777" w:rsidR="00744577" w:rsidRDefault="00000000">
            <w:pPr>
              <w:jc w:val="center"/>
            </w:pPr>
            <w:r>
              <w:rPr>
                <w:b/>
                <w:bCs/>
                <w:color w:val="FFFFFF"/>
              </w:rPr>
              <w:t>Amount Due</w:t>
            </w:r>
          </w:p>
        </w:tc>
        <w:tc>
          <w:tcPr>
            <w:tcW w:w="2400" w:type="dxa"/>
            <w:tcBorders>
              <w:top w:val="single" w:sz="1" w:space="0" w:color="999999"/>
              <w:left w:val="single" w:sz="1" w:space="0" w:color="999999"/>
              <w:bottom w:val="single" w:sz="1" w:space="0" w:color="999999"/>
              <w:right w:val="single" w:sz="1" w:space="0" w:color="999999"/>
            </w:tcBorders>
            <w:shd w:val="clear" w:color="auto" w:fill="1F4E79"/>
          </w:tcPr>
          <w:p w14:paraId="5F305B86" w14:textId="77777777" w:rsidR="00744577" w:rsidRDefault="00000000">
            <w:pPr>
              <w:jc w:val="center"/>
            </w:pPr>
            <w:r>
              <w:rPr>
                <w:b/>
                <w:bCs/>
                <w:color w:val="FFFFFF"/>
              </w:rPr>
              <w:t>Amount Paid</w:t>
            </w:r>
          </w:p>
        </w:tc>
        <w:tc>
          <w:tcPr>
            <w:tcW w:w="2520" w:type="dxa"/>
            <w:tcBorders>
              <w:top w:val="single" w:sz="1" w:space="0" w:color="999999"/>
              <w:left w:val="single" w:sz="1" w:space="0" w:color="999999"/>
              <w:bottom w:val="single" w:sz="1" w:space="0" w:color="999999"/>
              <w:right w:val="single" w:sz="1" w:space="0" w:color="999999"/>
            </w:tcBorders>
            <w:shd w:val="clear" w:color="auto" w:fill="1F4E79"/>
          </w:tcPr>
          <w:p w14:paraId="5D340E3A" w14:textId="77777777" w:rsidR="00744577" w:rsidRDefault="00000000">
            <w:pPr>
              <w:jc w:val="center"/>
            </w:pPr>
            <w:r>
              <w:rPr>
                <w:b/>
                <w:bCs/>
                <w:color w:val="FFFFFF"/>
              </w:rPr>
              <w:t>Outstanding</w:t>
            </w:r>
          </w:p>
        </w:tc>
      </w:tr>
      <w:tr w:rsidR="00744577" w14:paraId="6D0F3CAD" w14:textId="77777777">
        <w:tblPrEx>
          <w:tblCellMar>
            <w:top w:w="0" w:type="dxa"/>
            <w:bottom w:w="0" w:type="dxa"/>
          </w:tblCellMar>
        </w:tblPrEx>
        <w:tc>
          <w:tcPr>
            <w:tcW w:w="2400" w:type="dxa"/>
            <w:tcBorders>
              <w:top w:val="single" w:sz="1" w:space="0" w:color="999999"/>
              <w:left w:val="single" w:sz="1" w:space="0" w:color="999999"/>
              <w:bottom w:val="single" w:sz="1" w:space="0" w:color="999999"/>
              <w:right w:val="single" w:sz="1" w:space="0" w:color="999999"/>
            </w:tcBorders>
          </w:tcPr>
          <w:p w14:paraId="346308EB" w14:textId="77777777" w:rsidR="00744577" w:rsidRDefault="00000000">
            <w:pPr>
              <w:jc w:val="center"/>
            </w:pPr>
            <w:r>
              <w:t>2021</w:t>
            </w:r>
          </w:p>
        </w:tc>
        <w:tc>
          <w:tcPr>
            <w:tcW w:w="2400" w:type="dxa"/>
            <w:tcBorders>
              <w:top w:val="single" w:sz="1" w:space="0" w:color="999999"/>
              <w:left w:val="single" w:sz="1" w:space="0" w:color="999999"/>
              <w:bottom w:val="single" w:sz="1" w:space="0" w:color="999999"/>
              <w:right w:val="single" w:sz="1" w:space="0" w:color="999999"/>
            </w:tcBorders>
          </w:tcPr>
          <w:p w14:paraId="5659F46A" w14:textId="77777777" w:rsidR="00744577" w:rsidRDefault="00000000">
            <w:pPr>
              <w:jc w:val="center"/>
            </w:pPr>
            <w:r>
              <w:t>£250.00</w:t>
            </w:r>
          </w:p>
        </w:tc>
        <w:tc>
          <w:tcPr>
            <w:tcW w:w="2400" w:type="dxa"/>
            <w:tcBorders>
              <w:top w:val="single" w:sz="1" w:space="0" w:color="999999"/>
              <w:left w:val="single" w:sz="1" w:space="0" w:color="999999"/>
              <w:bottom w:val="single" w:sz="1" w:space="0" w:color="999999"/>
              <w:right w:val="single" w:sz="1" w:space="0" w:color="999999"/>
            </w:tcBorders>
          </w:tcPr>
          <w:p w14:paraId="54026691" w14:textId="77777777" w:rsidR="00744577" w:rsidRDefault="00000000">
            <w:pPr>
              <w:jc w:val="center"/>
            </w:pPr>
            <w:r>
              <w:t>£0.00</w:t>
            </w:r>
          </w:p>
        </w:tc>
        <w:tc>
          <w:tcPr>
            <w:tcW w:w="2520" w:type="dxa"/>
            <w:tcBorders>
              <w:top w:val="single" w:sz="1" w:space="0" w:color="999999"/>
              <w:left w:val="single" w:sz="1" w:space="0" w:color="999999"/>
              <w:bottom w:val="single" w:sz="1" w:space="0" w:color="999999"/>
              <w:right w:val="single" w:sz="1" w:space="0" w:color="999999"/>
            </w:tcBorders>
            <w:shd w:val="clear" w:color="auto" w:fill="FFCCCC"/>
          </w:tcPr>
          <w:p w14:paraId="7B259D44" w14:textId="77777777" w:rsidR="00744577" w:rsidRDefault="00000000">
            <w:pPr>
              <w:jc w:val="center"/>
            </w:pPr>
            <w:r>
              <w:rPr>
                <w:b/>
                <w:bCs/>
                <w:color w:val="C00000"/>
              </w:rPr>
              <w:t>£250.00</w:t>
            </w:r>
          </w:p>
        </w:tc>
      </w:tr>
      <w:tr w:rsidR="00744577" w14:paraId="2F055692" w14:textId="77777777">
        <w:tblPrEx>
          <w:tblCellMar>
            <w:top w:w="0" w:type="dxa"/>
            <w:bottom w:w="0" w:type="dxa"/>
          </w:tblCellMar>
        </w:tblPrEx>
        <w:tc>
          <w:tcPr>
            <w:tcW w:w="2400" w:type="dxa"/>
            <w:tcBorders>
              <w:top w:val="single" w:sz="1" w:space="0" w:color="999999"/>
              <w:left w:val="single" w:sz="1" w:space="0" w:color="999999"/>
              <w:bottom w:val="single" w:sz="1" w:space="0" w:color="999999"/>
              <w:right w:val="single" w:sz="1" w:space="0" w:color="999999"/>
            </w:tcBorders>
          </w:tcPr>
          <w:p w14:paraId="7C97A62A" w14:textId="77777777" w:rsidR="00744577" w:rsidRDefault="00000000">
            <w:pPr>
              <w:jc w:val="center"/>
            </w:pPr>
            <w:r>
              <w:t>2022</w:t>
            </w:r>
          </w:p>
        </w:tc>
        <w:tc>
          <w:tcPr>
            <w:tcW w:w="2400" w:type="dxa"/>
            <w:tcBorders>
              <w:top w:val="single" w:sz="1" w:space="0" w:color="999999"/>
              <w:left w:val="single" w:sz="1" w:space="0" w:color="999999"/>
              <w:bottom w:val="single" w:sz="1" w:space="0" w:color="999999"/>
              <w:right w:val="single" w:sz="1" w:space="0" w:color="999999"/>
            </w:tcBorders>
          </w:tcPr>
          <w:p w14:paraId="60CE9A0F" w14:textId="77777777" w:rsidR="00744577" w:rsidRDefault="00000000">
            <w:pPr>
              <w:jc w:val="center"/>
            </w:pPr>
            <w:r>
              <w:t>£250.00</w:t>
            </w:r>
          </w:p>
        </w:tc>
        <w:tc>
          <w:tcPr>
            <w:tcW w:w="2400" w:type="dxa"/>
            <w:tcBorders>
              <w:top w:val="single" w:sz="1" w:space="0" w:color="999999"/>
              <w:left w:val="single" w:sz="1" w:space="0" w:color="999999"/>
              <w:bottom w:val="single" w:sz="1" w:space="0" w:color="999999"/>
              <w:right w:val="single" w:sz="1" w:space="0" w:color="999999"/>
            </w:tcBorders>
          </w:tcPr>
          <w:p w14:paraId="70F91494" w14:textId="77777777" w:rsidR="00744577" w:rsidRDefault="00000000">
            <w:pPr>
              <w:jc w:val="center"/>
            </w:pPr>
            <w:r>
              <w:t>£0.00</w:t>
            </w:r>
          </w:p>
        </w:tc>
        <w:tc>
          <w:tcPr>
            <w:tcW w:w="2520" w:type="dxa"/>
            <w:tcBorders>
              <w:top w:val="single" w:sz="1" w:space="0" w:color="999999"/>
              <w:left w:val="single" w:sz="1" w:space="0" w:color="999999"/>
              <w:bottom w:val="single" w:sz="1" w:space="0" w:color="999999"/>
              <w:right w:val="single" w:sz="1" w:space="0" w:color="999999"/>
            </w:tcBorders>
            <w:shd w:val="clear" w:color="auto" w:fill="FFCCCC"/>
          </w:tcPr>
          <w:p w14:paraId="1E975785" w14:textId="77777777" w:rsidR="00744577" w:rsidRDefault="00000000">
            <w:pPr>
              <w:jc w:val="center"/>
            </w:pPr>
            <w:r>
              <w:rPr>
                <w:b/>
                <w:bCs/>
                <w:color w:val="C00000"/>
              </w:rPr>
              <w:t>£250.00</w:t>
            </w:r>
          </w:p>
        </w:tc>
      </w:tr>
      <w:tr w:rsidR="00744577" w14:paraId="5284A2A5" w14:textId="77777777">
        <w:tblPrEx>
          <w:tblCellMar>
            <w:top w:w="0" w:type="dxa"/>
            <w:bottom w:w="0" w:type="dxa"/>
          </w:tblCellMar>
        </w:tblPrEx>
        <w:tc>
          <w:tcPr>
            <w:tcW w:w="2400" w:type="dxa"/>
            <w:tcBorders>
              <w:top w:val="single" w:sz="1" w:space="0" w:color="999999"/>
              <w:left w:val="single" w:sz="1" w:space="0" w:color="999999"/>
              <w:bottom w:val="single" w:sz="1" w:space="0" w:color="999999"/>
              <w:right w:val="single" w:sz="1" w:space="0" w:color="999999"/>
            </w:tcBorders>
          </w:tcPr>
          <w:p w14:paraId="7AD6DCED" w14:textId="77777777" w:rsidR="00744577" w:rsidRDefault="00000000">
            <w:pPr>
              <w:jc w:val="center"/>
            </w:pPr>
            <w:r>
              <w:t>2023</w:t>
            </w:r>
          </w:p>
        </w:tc>
        <w:tc>
          <w:tcPr>
            <w:tcW w:w="2400" w:type="dxa"/>
            <w:tcBorders>
              <w:top w:val="single" w:sz="1" w:space="0" w:color="999999"/>
              <w:left w:val="single" w:sz="1" w:space="0" w:color="999999"/>
              <w:bottom w:val="single" w:sz="1" w:space="0" w:color="999999"/>
              <w:right w:val="single" w:sz="1" w:space="0" w:color="999999"/>
            </w:tcBorders>
          </w:tcPr>
          <w:p w14:paraId="1FE671A7" w14:textId="77777777" w:rsidR="00744577" w:rsidRDefault="00000000">
            <w:pPr>
              <w:jc w:val="center"/>
            </w:pPr>
            <w:r>
              <w:t>£250.00</w:t>
            </w:r>
          </w:p>
        </w:tc>
        <w:tc>
          <w:tcPr>
            <w:tcW w:w="2400" w:type="dxa"/>
            <w:tcBorders>
              <w:top w:val="single" w:sz="1" w:space="0" w:color="999999"/>
              <w:left w:val="single" w:sz="1" w:space="0" w:color="999999"/>
              <w:bottom w:val="single" w:sz="1" w:space="0" w:color="999999"/>
              <w:right w:val="single" w:sz="1" w:space="0" w:color="999999"/>
            </w:tcBorders>
          </w:tcPr>
          <w:p w14:paraId="66A2C964" w14:textId="77777777" w:rsidR="00744577" w:rsidRDefault="00000000">
            <w:pPr>
              <w:jc w:val="center"/>
            </w:pPr>
            <w:r>
              <w:t>£0.00</w:t>
            </w:r>
          </w:p>
        </w:tc>
        <w:tc>
          <w:tcPr>
            <w:tcW w:w="2520" w:type="dxa"/>
            <w:tcBorders>
              <w:top w:val="single" w:sz="1" w:space="0" w:color="999999"/>
              <w:left w:val="single" w:sz="1" w:space="0" w:color="999999"/>
              <w:bottom w:val="single" w:sz="1" w:space="0" w:color="999999"/>
              <w:right w:val="single" w:sz="1" w:space="0" w:color="999999"/>
            </w:tcBorders>
            <w:shd w:val="clear" w:color="auto" w:fill="FFCCCC"/>
          </w:tcPr>
          <w:p w14:paraId="0E14E43D" w14:textId="77777777" w:rsidR="00744577" w:rsidRDefault="00000000">
            <w:pPr>
              <w:jc w:val="center"/>
            </w:pPr>
            <w:r>
              <w:rPr>
                <w:b/>
                <w:bCs/>
                <w:color w:val="C00000"/>
              </w:rPr>
              <w:t>£250.00</w:t>
            </w:r>
          </w:p>
        </w:tc>
      </w:tr>
      <w:tr w:rsidR="00744577" w14:paraId="4C153222" w14:textId="77777777">
        <w:tblPrEx>
          <w:tblCellMar>
            <w:top w:w="0" w:type="dxa"/>
            <w:bottom w:w="0" w:type="dxa"/>
          </w:tblCellMar>
        </w:tblPrEx>
        <w:tc>
          <w:tcPr>
            <w:tcW w:w="2400" w:type="dxa"/>
            <w:tcBorders>
              <w:top w:val="single" w:sz="1" w:space="0" w:color="999999"/>
              <w:left w:val="single" w:sz="1" w:space="0" w:color="999999"/>
              <w:bottom w:val="single" w:sz="1" w:space="0" w:color="999999"/>
              <w:right w:val="single" w:sz="1" w:space="0" w:color="999999"/>
            </w:tcBorders>
          </w:tcPr>
          <w:p w14:paraId="45606D68" w14:textId="77777777" w:rsidR="00744577" w:rsidRDefault="00000000">
            <w:pPr>
              <w:jc w:val="center"/>
            </w:pPr>
            <w:r>
              <w:t>2024</w:t>
            </w:r>
          </w:p>
        </w:tc>
        <w:tc>
          <w:tcPr>
            <w:tcW w:w="2400" w:type="dxa"/>
            <w:tcBorders>
              <w:top w:val="single" w:sz="1" w:space="0" w:color="999999"/>
              <w:left w:val="single" w:sz="1" w:space="0" w:color="999999"/>
              <w:bottom w:val="single" w:sz="1" w:space="0" w:color="999999"/>
              <w:right w:val="single" w:sz="1" w:space="0" w:color="999999"/>
            </w:tcBorders>
          </w:tcPr>
          <w:p w14:paraId="1F5203FA" w14:textId="77777777" w:rsidR="00744577" w:rsidRDefault="00000000">
            <w:pPr>
              <w:jc w:val="center"/>
            </w:pPr>
            <w:r>
              <w:t>£250.00</w:t>
            </w:r>
          </w:p>
        </w:tc>
        <w:tc>
          <w:tcPr>
            <w:tcW w:w="2400" w:type="dxa"/>
            <w:tcBorders>
              <w:top w:val="single" w:sz="1" w:space="0" w:color="999999"/>
              <w:left w:val="single" w:sz="1" w:space="0" w:color="999999"/>
              <w:bottom w:val="single" w:sz="1" w:space="0" w:color="999999"/>
              <w:right w:val="single" w:sz="1" w:space="0" w:color="999999"/>
            </w:tcBorders>
          </w:tcPr>
          <w:p w14:paraId="286F5574" w14:textId="77777777" w:rsidR="00744577" w:rsidRDefault="00000000">
            <w:pPr>
              <w:jc w:val="center"/>
            </w:pPr>
            <w:r>
              <w:t>£0.00</w:t>
            </w:r>
          </w:p>
        </w:tc>
        <w:tc>
          <w:tcPr>
            <w:tcW w:w="2520" w:type="dxa"/>
            <w:tcBorders>
              <w:top w:val="single" w:sz="1" w:space="0" w:color="999999"/>
              <w:left w:val="single" w:sz="1" w:space="0" w:color="999999"/>
              <w:bottom w:val="single" w:sz="1" w:space="0" w:color="999999"/>
              <w:right w:val="single" w:sz="1" w:space="0" w:color="999999"/>
            </w:tcBorders>
            <w:shd w:val="clear" w:color="auto" w:fill="FFCCCC"/>
          </w:tcPr>
          <w:p w14:paraId="522E0F7E" w14:textId="77777777" w:rsidR="00744577" w:rsidRDefault="00000000">
            <w:pPr>
              <w:jc w:val="center"/>
            </w:pPr>
            <w:r>
              <w:rPr>
                <w:b/>
                <w:bCs/>
                <w:color w:val="C00000"/>
              </w:rPr>
              <w:t>£250.00</w:t>
            </w:r>
          </w:p>
        </w:tc>
      </w:tr>
      <w:tr w:rsidR="00744577" w14:paraId="31AFB0F5" w14:textId="77777777">
        <w:tblPrEx>
          <w:tblCellMar>
            <w:top w:w="0" w:type="dxa"/>
            <w:bottom w:w="0" w:type="dxa"/>
          </w:tblCellMar>
        </w:tblPrEx>
        <w:tc>
          <w:tcPr>
            <w:tcW w:w="2400" w:type="dxa"/>
            <w:tcBorders>
              <w:top w:val="single" w:sz="1" w:space="0" w:color="999999"/>
              <w:left w:val="single" w:sz="1" w:space="0" w:color="999999"/>
              <w:bottom w:val="single" w:sz="1" w:space="0" w:color="999999"/>
              <w:right w:val="single" w:sz="1" w:space="0" w:color="999999"/>
            </w:tcBorders>
            <w:shd w:val="clear" w:color="auto" w:fill="E8E8E8"/>
          </w:tcPr>
          <w:p w14:paraId="643128A0" w14:textId="77777777" w:rsidR="00744577" w:rsidRDefault="00000000">
            <w:pPr>
              <w:jc w:val="center"/>
            </w:pPr>
            <w:r>
              <w:rPr>
                <w:b/>
                <w:bCs/>
              </w:rPr>
              <w:t>TOTAL</w:t>
            </w:r>
          </w:p>
        </w:tc>
        <w:tc>
          <w:tcPr>
            <w:tcW w:w="2400" w:type="dxa"/>
            <w:tcBorders>
              <w:top w:val="single" w:sz="1" w:space="0" w:color="999999"/>
              <w:left w:val="single" w:sz="1" w:space="0" w:color="999999"/>
              <w:bottom w:val="single" w:sz="1" w:space="0" w:color="999999"/>
              <w:right w:val="single" w:sz="1" w:space="0" w:color="999999"/>
            </w:tcBorders>
            <w:shd w:val="clear" w:color="auto" w:fill="E8E8E8"/>
          </w:tcPr>
          <w:p w14:paraId="4CF08001" w14:textId="77777777" w:rsidR="00744577" w:rsidRDefault="00000000">
            <w:pPr>
              <w:jc w:val="center"/>
            </w:pPr>
            <w:r>
              <w:rPr>
                <w:b/>
                <w:bCs/>
              </w:rPr>
              <w:t>£1,000.00</w:t>
            </w:r>
          </w:p>
        </w:tc>
        <w:tc>
          <w:tcPr>
            <w:tcW w:w="2400" w:type="dxa"/>
            <w:tcBorders>
              <w:top w:val="single" w:sz="1" w:space="0" w:color="999999"/>
              <w:left w:val="single" w:sz="1" w:space="0" w:color="999999"/>
              <w:bottom w:val="single" w:sz="1" w:space="0" w:color="999999"/>
              <w:right w:val="single" w:sz="1" w:space="0" w:color="999999"/>
            </w:tcBorders>
            <w:shd w:val="clear" w:color="auto" w:fill="E8E8E8"/>
          </w:tcPr>
          <w:p w14:paraId="416B8632" w14:textId="77777777" w:rsidR="00744577" w:rsidRDefault="00000000">
            <w:pPr>
              <w:jc w:val="center"/>
            </w:pPr>
            <w:r>
              <w:rPr>
                <w:b/>
                <w:bCs/>
              </w:rPr>
              <w:t>£0.00</w:t>
            </w:r>
          </w:p>
        </w:tc>
        <w:tc>
          <w:tcPr>
            <w:tcW w:w="2520" w:type="dxa"/>
            <w:tcBorders>
              <w:top w:val="single" w:sz="1" w:space="0" w:color="999999"/>
              <w:left w:val="single" w:sz="1" w:space="0" w:color="999999"/>
              <w:bottom w:val="single" w:sz="1" w:space="0" w:color="999999"/>
              <w:right w:val="single" w:sz="1" w:space="0" w:color="999999"/>
            </w:tcBorders>
            <w:shd w:val="clear" w:color="auto" w:fill="C00000"/>
          </w:tcPr>
          <w:p w14:paraId="55081237" w14:textId="77777777" w:rsidR="00744577" w:rsidRDefault="00000000">
            <w:pPr>
              <w:jc w:val="center"/>
            </w:pPr>
            <w:r>
              <w:rPr>
                <w:b/>
                <w:bCs/>
                <w:color w:val="FFFFFF"/>
              </w:rPr>
              <w:t>£1,000.00</w:t>
            </w:r>
          </w:p>
        </w:tc>
      </w:tr>
    </w:tbl>
    <w:p w14:paraId="3C246CD6" w14:textId="77777777" w:rsidR="00744577" w:rsidRDefault="00000000">
      <w:pPr>
        <w:pStyle w:val="Heading1"/>
      </w:pPr>
      <w:r>
        <w:t>5. CONCLUSION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744577" w14:paraId="47580CA8" w14:textId="77777777">
        <w:tblPrEx>
          <w:tblCellMar>
            <w:top w:w="0" w:type="dxa"/>
            <w:bottom w:w="0" w:type="dxa"/>
          </w:tblCellMar>
        </w:tblPrEx>
        <w:tc>
          <w:tcPr>
            <w:tcW w:w="9720" w:type="dxa"/>
            <w:tcBorders>
              <w:top w:val="single" w:sz="2" w:space="0" w:color="1F4E79"/>
              <w:left w:val="single" w:sz="2" w:space="0" w:color="1F4E79"/>
              <w:bottom w:val="single" w:sz="2" w:space="0" w:color="1F4E79"/>
              <w:right w:val="single" w:sz="2" w:space="0" w:color="1F4E79"/>
            </w:tcBorders>
            <w:shd w:val="clear" w:color="auto" w:fill="E8F4FD"/>
          </w:tcPr>
          <w:p w14:paraId="5C7032AB" w14:textId="77777777" w:rsidR="00744577" w:rsidRDefault="00000000">
            <w:pPr>
              <w:spacing w:before="100" w:after="80"/>
            </w:pPr>
            <w:r>
              <w:rPr>
                <w:b/>
                <w:bCs/>
              </w:rPr>
              <w:t>The Tenant is in breach of his obligation to pay ground rent under the Lease.</w:t>
            </w:r>
          </w:p>
          <w:p w14:paraId="5754BDA9" w14:textId="77777777" w:rsidR="00744577" w:rsidRDefault="00000000">
            <w:pPr>
              <w:pStyle w:val="ListParagraph"/>
              <w:numPr>
                <w:ilvl w:val="0"/>
                <w:numId w:val="3"/>
              </w:numPr>
            </w:pPr>
            <w:r>
              <w:t>Ground rent of £1,000.00 (for years 2021, 2022, 2023, and 2024) remains outstanding</w:t>
            </w:r>
          </w:p>
          <w:p w14:paraId="68FCD9AE" w14:textId="77777777" w:rsidR="00744577" w:rsidRDefault="00000000">
            <w:pPr>
              <w:pStyle w:val="ListParagraph"/>
              <w:numPr>
                <w:ilvl w:val="0"/>
                <w:numId w:val="3"/>
              </w:numPr>
            </w:pPr>
            <w:r>
              <w:t xml:space="preserve">The obligation to pay exists </w:t>
            </w:r>
            <w:proofErr w:type="gramStart"/>
            <w:r>
              <w:t>whether or not</w:t>
            </w:r>
            <w:proofErr w:type="gramEnd"/>
            <w:r>
              <w:t xml:space="preserve"> the Landlord issues a formal demand</w:t>
            </w:r>
          </w:p>
          <w:p w14:paraId="4737C785" w14:textId="77777777" w:rsidR="00744577" w:rsidRDefault="00000000">
            <w:pPr>
              <w:pStyle w:val="ListParagraph"/>
              <w:numPr>
                <w:ilvl w:val="0"/>
                <w:numId w:val="3"/>
              </w:numPr>
            </w:pPr>
            <w:r>
              <w:t>The Tenant acknowledged the debt in his own correspondence</w:t>
            </w:r>
          </w:p>
          <w:p w14:paraId="41EE14F4" w14:textId="77777777" w:rsidR="00744577" w:rsidRDefault="00000000">
            <w:pPr>
              <w:pStyle w:val="ListParagraph"/>
              <w:numPr>
                <w:ilvl w:val="0"/>
                <w:numId w:val="3"/>
              </w:numPr>
            </w:pPr>
            <w:r>
              <w:t>No settlement was reached; therefore, the debt remains due</w:t>
            </w:r>
          </w:p>
          <w:p w14:paraId="65A6B419" w14:textId="77777777" w:rsidR="00744577" w:rsidRDefault="00000000">
            <w:pPr>
              <w:pStyle w:val="ListParagraph"/>
              <w:numPr>
                <w:ilvl w:val="0"/>
                <w:numId w:val="3"/>
              </w:numPr>
              <w:spacing w:after="100"/>
            </w:pPr>
            <w:r>
              <w:t>The Landlord reserves the right to claim this sum plus interest</w:t>
            </w:r>
          </w:p>
        </w:tc>
      </w:tr>
    </w:tbl>
    <w:p w14:paraId="17EA6040" w14:textId="77777777" w:rsidR="00744577" w:rsidRDefault="00000000">
      <w:pPr>
        <w:spacing w:before="200"/>
        <w:jc w:val="center"/>
      </w:pPr>
      <w:r>
        <w:rPr>
          <w:i/>
          <w:iCs/>
          <w:color w:val="666666"/>
          <w:sz w:val="18"/>
          <w:szCs w:val="18"/>
        </w:rPr>
        <w:t>— End of Document —</w:t>
      </w:r>
    </w:p>
    <w:p w14:paraId="157B3B36" w14:textId="77777777" w:rsidR="00744577" w:rsidRDefault="00000000">
      <w:pPr>
        <w:jc w:val="center"/>
      </w:pPr>
      <w:r>
        <w:rPr>
          <w:color w:val="999999"/>
          <w:sz w:val="16"/>
          <w:szCs w:val="16"/>
        </w:rPr>
        <w:t>Prepared: 28 December 2025</w:t>
      </w:r>
    </w:p>
    <w:sectPr w:rsidR="00744577">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B4B9" w14:textId="77777777" w:rsidR="00643601" w:rsidRDefault="00643601">
      <w:r>
        <w:separator/>
      </w:r>
    </w:p>
  </w:endnote>
  <w:endnote w:type="continuationSeparator" w:id="0">
    <w:p w14:paraId="748A6CA1" w14:textId="77777777" w:rsidR="00643601" w:rsidRDefault="0064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E956" w14:textId="77777777" w:rsidR="00744577" w:rsidRDefault="00000000">
    <w:pPr>
      <w:jc w:val="center"/>
    </w:pPr>
    <w:r>
      <w:rPr>
        <w:sz w:val="18"/>
        <w:szCs w:val="18"/>
      </w:rPr>
      <w:t xml:space="preserve">14-16 </w:t>
    </w:r>
    <w:proofErr w:type="spellStart"/>
    <w:r>
      <w:rPr>
        <w:sz w:val="18"/>
        <w:szCs w:val="18"/>
      </w:rPr>
      <w:t>Carroun</w:t>
    </w:r>
    <w:proofErr w:type="spellEnd"/>
    <w:r>
      <w:rPr>
        <w:sz w:val="18"/>
        <w:szCs w:val="18"/>
      </w:rPr>
      <w:t xml:space="preserve"> Road | Breach Evidence | Page </w:t>
    </w:r>
    <w:r>
      <w:rPr>
        <w:sz w:val="18"/>
        <w:szCs w:val="18"/>
      </w:rPr>
      <w:fldChar w:fldCharType="begin"/>
    </w:r>
    <w:r>
      <w:rPr>
        <w:sz w:val="18"/>
        <w:szCs w:val="18"/>
      </w:rPr>
      <w:instrText>PAGE</w:instrText>
    </w:r>
    <w:r>
      <w:rPr>
        <w:sz w:val="18"/>
        <w:szCs w:val="18"/>
      </w:rPr>
      <w:fldChar w:fldCharType="separate"/>
    </w:r>
    <w:r w:rsidR="0023252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232528">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0A36" w14:textId="77777777" w:rsidR="00643601" w:rsidRDefault="00643601">
      <w:r>
        <w:separator/>
      </w:r>
    </w:p>
  </w:footnote>
  <w:footnote w:type="continuationSeparator" w:id="0">
    <w:p w14:paraId="4CD80CDF" w14:textId="77777777" w:rsidR="00643601" w:rsidRDefault="0064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DC7B" w14:textId="77777777" w:rsidR="00744577" w:rsidRDefault="00000000">
    <w:pPr>
      <w:jc w:val="right"/>
    </w:pPr>
    <w:r>
      <w:rPr>
        <w:b/>
        <w:bCs/>
        <w:color w:val="C00000"/>
        <w:sz w:val="16"/>
        <w:szCs w:val="16"/>
      </w:rPr>
      <w:t>TENANT BREACH – GROUND RENT ARREARS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2154"/>
    <w:multiLevelType w:val="hybridMultilevel"/>
    <w:tmpl w:val="71983018"/>
    <w:lvl w:ilvl="0" w:tplc="826E3B0C">
      <w:start w:val="1"/>
      <w:numFmt w:val="bullet"/>
      <w:lvlText w:val="•"/>
      <w:lvlJc w:val="left"/>
      <w:pPr>
        <w:ind w:left="720" w:hanging="360"/>
      </w:pPr>
    </w:lvl>
    <w:lvl w:ilvl="1" w:tplc="8A3478CC">
      <w:numFmt w:val="decimal"/>
      <w:lvlText w:val=""/>
      <w:lvlJc w:val="left"/>
    </w:lvl>
    <w:lvl w:ilvl="2" w:tplc="CFDCB6EA">
      <w:numFmt w:val="decimal"/>
      <w:lvlText w:val=""/>
      <w:lvlJc w:val="left"/>
    </w:lvl>
    <w:lvl w:ilvl="3" w:tplc="C396E904">
      <w:numFmt w:val="decimal"/>
      <w:lvlText w:val=""/>
      <w:lvlJc w:val="left"/>
    </w:lvl>
    <w:lvl w:ilvl="4" w:tplc="E48C560A">
      <w:numFmt w:val="decimal"/>
      <w:lvlText w:val=""/>
      <w:lvlJc w:val="left"/>
    </w:lvl>
    <w:lvl w:ilvl="5" w:tplc="3880DE1C">
      <w:numFmt w:val="decimal"/>
      <w:lvlText w:val=""/>
      <w:lvlJc w:val="left"/>
    </w:lvl>
    <w:lvl w:ilvl="6" w:tplc="532E998E">
      <w:numFmt w:val="decimal"/>
      <w:lvlText w:val=""/>
      <w:lvlJc w:val="left"/>
    </w:lvl>
    <w:lvl w:ilvl="7" w:tplc="7B10A02C">
      <w:numFmt w:val="decimal"/>
      <w:lvlText w:val=""/>
      <w:lvlJc w:val="left"/>
    </w:lvl>
    <w:lvl w:ilvl="8" w:tplc="62E2D09C">
      <w:numFmt w:val="decimal"/>
      <w:lvlText w:val=""/>
      <w:lvlJc w:val="left"/>
    </w:lvl>
  </w:abstractNum>
  <w:abstractNum w:abstractNumId="1" w15:restartNumberingAfterBreak="0">
    <w:nsid w:val="3FE56F73"/>
    <w:multiLevelType w:val="hybridMultilevel"/>
    <w:tmpl w:val="B3F67002"/>
    <w:lvl w:ilvl="0" w:tplc="56E048EC">
      <w:start w:val="1"/>
      <w:numFmt w:val="decimal"/>
      <w:lvlText w:val="%1."/>
      <w:lvlJc w:val="left"/>
      <w:pPr>
        <w:ind w:left="720" w:hanging="360"/>
      </w:pPr>
    </w:lvl>
    <w:lvl w:ilvl="1" w:tplc="06E24E40">
      <w:numFmt w:val="decimal"/>
      <w:lvlText w:val=""/>
      <w:lvlJc w:val="left"/>
    </w:lvl>
    <w:lvl w:ilvl="2" w:tplc="612A1D4C">
      <w:numFmt w:val="decimal"/>
      <w:lvlText w:val=""/>
      <w:lvlJc w:val="left"/>
    </w:lvl>
    <w:lvl w:ilvl="3" w:tplc="4B28A61A">
      <w:numFmt w:val="decimal"/>
      <w:lvlText w:val=""/>
      <w:lvlJc w:val="left"/>
    </w:lvl>
    <w:lvl w:ilvl="4" w:tplc="ACA6EC6E">
      <w:numFmt w:val="decimal"/>
      <w:lvlText w:val=""/>
      <w:lvlJc w:val="left"/>
    </w:lvl>
    <w:lvl w:ilvl="5" w:tplc="EBC81ECC">
      <w:numFmt w:val="decimal"/>
      <w:lvlText w:val=""/>
      <w:lvlJc w:val="left"/>
    </w:lvl>
    <w:lvl w:ilvl="6" w:tplc="FB92A78C">
      <w:numFmt w:val="decimal"/>
      <w:lvlText w:val=""/>
      <w:lvlJc w:val="left"/>
    </w:lvl>
    <w:lvl w:ilvl="7" w:tplc="57EEB456">
      <w:numFmt w:val="decimal"/>
      <w:lvlText w:val=""/>
      <w:lvlJc w:val="left"/>
    </w:lvl>
    <w:lvl w:ilvl="8" w:tplc="B642B69E">
      <w:numFmt w:val="decimal"/>
      <w:lvlText w:val=""/>
      <w:lvlJc w:val="left"/>
    </w:lvl>
  </w:abstractNum>
  <w:abstractNum w:abstractNumId="2" w15:restartNumberingAfterBreak="0">
    <w:nsid w:val="400E2952"/>
    <w:multiLevelType w:val="hybridMultilevel"/>
    <w:tmpl w:val="09960584"/>
    <w:lvl w:ilvl="0" w:tplc="D59655AC">
      <w:start w:val="1"/>
      <w:numFmt w:val="bullet"/>
      <w:lvlText w:val="●"/>
      <w:lvlJc w:val="left"/>
      <w:pPr>
        <w:ind w:left="720" w:hanging="360"/>
      </w:pPr>
    </w:lvl>
    <w:lvl w:ilvl="1" w:tplc="18FCEE80">
      <w:start w:val="1"/>
      <w:numFmt w:val="bullet"/>
      <w:lvlText w:val="○"/>
      <w:lvlJc w:val="left"/>
      <w:pPr>
        <w:ind w:left="1440" w:hanging="360"/>
      </w:pPr>
    </w:lvl>
    <w:lvl w:ilvl="2" w:tplc="4DCAB728">
      <w:start w:val="1"/>
      <w:numFmt w:val="bullet"/>
      <w:lvlText w:val="■"/>
      <w:lvlJc w:val="left"/>
      <w:pPr>
        <w:ind w:left="2160" w:hanging="360"/>
      </w:pPr>
    </w:lvl>
    <w:lvl w:ilvl="3" w:tplc="EC1A661E">
      <w:start w:val="1"/>
      <w:numFmt w:val="bullet"/>
      <w:lvlText w:val="●"/>
      <w:lvlJc w:val="left"/>
      <w:pPr>
        <w:ind w:left="2880" w:hanging="360"/>
      </w:pPr>
    </w:lvl>
    <w:lvl w:ilvl="4" w:tplc="159C8992">
      <w:start w:val="1"/>
      <w:numFmt w:val="bullet"/>
      <w:lvlText w:val="○"/>
      <w:lvlJc w:val="left"/>
      <w:pPr>
        <w:ind w:left="3600" w:hanging="360"/>
      </w:pPr>
    </w:lvl>
    <w:lvl w:ilvl="5" w:tplc="0A0A80BA">
      <w:start w:val="1"/>
      <w:numFmt w:val="bullet"/>
      <w:lvlText w:val="■"/>
      <w:lvlJc w:val="left"/>
      <w:pPr>
        <w:ind w:left="4320" w:hanging="360"/>
      </w:pPr>
    </w:lvl>
    <w:lvl w:ilvl="6" w:tplc="CCC4FA42">
      <w:start w:val="1"/>
      <w:numFmt w:val="bullet"/>
      <w:lvlText w:val="●"/>
      <w:lvlJc w:val="left"/>
      <w:pPr>
        <w:ind w:left="5040" w:hanging="360"/>
      </w:pPr>
    </w:lvl>
    <w:lvl w:ilvl="7" w:tplc="4C2EEEF0">
      <w:start w:val="1"/>
      <w:numFmt w:val="bullet"/>
      <w:lvlText w:val="●"/>
      <w:lvlJc w:val="left"/>
      <w:pPr>
        <w:ind w:left="5760" w:hanging="360"/>
      </w:pPr>
    </w:lvl>
    <w:lvl w:ilvl="8" w:tplc="20802AA2">
      <w:start w:val="1"/>
      <w:numFmt w:val="bullet"/>
      <w:lvlText w:val="●"/>
      <w:lvlJc w:val="left"/>
      <w:pPr>
        <w:ind w:left="6480" w:hanging="360"/>
      </w:pPr>
    </w:lvl>
  </w:abstractNum>
  <w:num w:numId="1" w16cid:durableId="1496874966">
    <w:abstractNumId w:val="2"/>
    <w:lvlOverride w:ilvl="0">
      <w:startOverride w:val="1"/>
    </w:lvlOverride>
  </w:num>
  <w:num w:numId="2" w16cid:durableId="251013598">
    <w:abstractNumId w:val="1"/>
    <w:lvlOverride w:ilvl="0">
      <w:startOverride w:val="1"/>
    </w:lvlOverride>
  </w:num>
  <w:num w:numId="3" w16cid:durableId="1930651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77"/>
    <w:rsid w:val="00232528"/>
    <w:rsid w:val="00643601"/>
    <w:rsid w:val="00744577"/>
    <w:rsid w:val="00CA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B59F"/>
  <w15:docId w15:val="{F3EF0ED1-2B37-49DF-8835-C3461CA1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26"/>
      <w:szCs w:val="26"/>
    </w:rPr>
  </w:style>
  <w:style w:type="paragraph" w:styleId="Heading2">
    <w:name w:val="heading 2"/>
    <w:uiPriority w:val="9"/>
    <w:unhideWhenUsed/>
    <w:qFormat/>
    <w:pPr>
      <w:spacing w:before="180" w:after="80"/>
      <w:outlineLvl w:val="1"/>
    </w:pPr>
    <w:rPr>
      <w:b/>
      <w:bCs/>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F4E79"/>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3114</Characters>
  <Application>Microsoft Office Word</Application>
  <DocSecurity>0</DocSecurity>
  <Lines>80</Lines>
  <Paragraphs>59</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365 Pro Plus</cp:lastModifiedBy>
  <cp:revision>2</cp:revision>
  <dcterms:created xsi:type="dcterms:W3CDTF">2025-12-28T21:44:00Z</dcterms:created>
  <dcterms:modified xsi:type="dcterms:W3CDTF">2025-12-28T21:44:00Z</dcterms:modified>
</cp:coreProperties>
</file>